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附件1</w:t>
      </w:r>
      <w:r>
        <w:rPr>
          <w:rFonts w:ascii="仿宋" w:eastAsia="仿宋" w:hAnsi="仿宋" w:cs="仿宋"/>
          <w:color w:val="auto"/>
          <w:sz w:val="28"/>
          <w:szCs w:val="28"/>
        </w:rPr>
        <w:t>:</w:t>
      </w:r>
    </w:p>
    <w:p w:rsidR="005D3976" w:rsidRDefault="005D3976" w:rsidP="005D3976">
      <w:pPr>
        <w:pStyle w:val="Default"/>
        <w:spacing w:line="360" w:lineRule="auto"/>
        <w:ind w:firstLineChars="200" w:firstLine="562"/>
        <w:jc w:val="center"/>
        <w:rPr>
          <w:rFonts w:ascii="仿宋" w:eastAsia="仿宋" w:hAnsi="仿宋" w:cs="黑体"/>
          <w:b/>
          <w:bCs/>
          <w:color w:val="auto"/>
          <w:sz w:val="28"/>
          <w:szCs w:val="28"/>
        </w:rPr>
      </w:pPr>
      <w:r>
        <w:rPr>
          <w:rFonts w:ascii="仿宋" w:eastAsia="仿宋" w:hAnsi="仿宋" w:cs="黑体"/>
          <w:b/>
          <w:bCs/>
          <w:color w:val="auto"/>
          <w:sz w:val="28"/>
          <w:szCs w:val="28"/>
        </w:rPr>
        <w:t>银行优质客户管理相关要求</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银行应制定内部有关优质客户的管理办法，包括但不限于准入标准、动态调整以及定期向自律机制报告等内容。</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hint="eastAsia"/>
          <w:b/>
          <w:bCs/>
          <w:color w:val="auto"/>
          <w:sz w:val="28"/>
          <w:szCs w:val="28"/>
        </w:rPr>
        <w:t>一、准入标准</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1、FTE客户</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银行应以下列条件认定FTE客户：</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 货物贸易名录内企业（仅限办理跨境货物贸易结算业务时才适用），未被纳入出口货物贸易人民币结算企业重点监管名单内，且分类考核信息为A类。</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(2)近一年内未被外汇局或其他监管部门通报的，无涉及外汇检查处罚案例信息、违法违规案例、风险提示案例、恶意规避外汇监管案例、企业信用报告存在瑕疵的及其他不良行为记录的。</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（3）本行总、分行级重点客户及其集团内成员企业。</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（4）企业或其母公司（集团公司）注册成立1年（含）以上，且自身或其母公司（集团公司）在本行系统内办理跨境结算业务累计30次（含）以上。</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（5）银行认为需要符合的其他条件（需书面说明）。</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原则上同时满足（1）（2）条，并且满足（3）（4）（5）条标准之一的企业可认定为FTE优质客户。跨境人民币便利化优质客户（需符合《中国（天津）自由贸易试验区分账核算业务管理实施细则（试行）》第二章第四条相关规定）可直接认定为FT优质客户，适用本操作指引相关规定。</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b/>
          <w:bCs/>
          <w:color w:val="auto"/>
          <w:sz w:val="28"/>
          <w:szCs w:val="28"/>
        </w:rPr>
        <w:t>2</w:t>
      </w:r>
      <w:r>
        <w:rPr>
          <w:rFonts w:ascii="仿宋" w:eastAsia="仿宋" w:hAnsi="仿宋" w:cs="仿宋" w:hint="eastAsia"/>
          <w:b/>
          <w:bCs/>
          <w:color w:val="auto"/>
          <w:sz w:val="28"/>
          <w:szCs w:val="28"/>
        </w:rPr>
        <w:t>、</w:t>
      </w:r>
      <w:r>
        <w:rPr>
          <w:rFonts w:ascii="仿宋" w:eastAsia="仿宋" w:hAnsi="仿宋" w:cs="仿宋"/>
          <w:b/>
          <w:bCs/>
          <w:color w:val="auto"/>
          <w:sz w:val="28"/>
          <w:szCs w:val="28"/>
        </w:rPr>
        <w:t>FTN</w:t>
      </w:r>
      <w:r>
        <w:rPr>
          <w:rFonts w:ascii="仿宋" w:eastAsia="仿宋" w:hAnsi="仿宋" w:cs="仿宋" w:hint="eastAsia"/>
          <w:b/>
          <w:bCs/>
          <w:color w:val="auto"/>
          <w:sz w:val="28"/>
          <w:szCs w:val="28"/>
        </w:rPr>
        <w:t>客户</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lastRenderedPageBreak/>
        <w:t>银行制定的优质客户准入标准，至少应同时满足以下条件：</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1</w:t>
      </w:r>
      <w:r>
        <w:rPr>
          <w:rFonts w:ascii="仿宋" w:eastAsia="仿宋" w:hAnsi="仿宋" w:cs="仿宋" w:hint="eastAsia"/>
          <w:color w:val="auto"/>
          <w:sz w:val="28"/>
          <w:szCs w:val="28"/>
        </w:rPr>
        <w:t>）企业注册成立1年（含）以上，合规经营且经营情况稳定，近1年内无监管处罚信息。中资</w:t>
      </w:r>
      <w:r>
        <w:rPr>
          <w:rFonts w:ascii="仿宋" w:eastAsia="仿宋" w:hAnsi="仿宋" w:cs="仿宋"/>
          <w:color w:val="auto"/>
          <w:sz w:val="28"/>
          <w:szCs w:val="28"/>
        </w:rPr>
        <w:t>“</w:t>
      </w:r>
      <w:r>
        <w:rPr>
          <w:rFonts w:ascii="仿宋" w:eastAsia="仿宋" w:hAnsi="仿宋" w:cs="仿宋" w:hint="eastAsia"/>
          <w:color w:val="auto"/>
          <w:sz w:val="28"/>
          <w:szCs w:val="28"/>
        </w:rPr>
        <w:t>走出去</w:t>
      </w:r>
      <w:r>
        <w:rPr>
          <w:rFonts w:ascii="仿宋" w:eastAsia="仿宋" w:hAnsi="仿宋" w:cs="仿宋"/>
          <w:color w:val="auto"/>
          <w:sz w:val="28"/>
          <w:szCs w:val="28"/>
        </w:rPr>
        <w:t>”</w:t>
      </w:r>
      <w:r>
        <w:rPr>
          <w:rFonts w:ascii="仿宋" w:eastAsia="仿宋" w:hAnsi="仿宋" w:cs="仿宋" w:hint="eastAsia"/>
          <w:color w:val="auto"/>
          <w:sz w:val="28"/>
          <w:szCs w:val="28"/>
        </w:rPr>
        <w:t>企业、或</w:t>
      </w:r>
      <w:r>
        <w:rPr>
          <w:rFonts w:ascii="仿宋" w:eastAsia="仿宋" w:hAnsi="仿宋" w:cs="仿宋"/>
          <w:color w:val="auto"/>
          <w:sz w:val="28"/>
          <w:szCs w:val="28"/>
        </w:rPr>
        <w:t>“</w:t>
      </w:r>
      <w:r>
        <w:rPr>
          <w:rFonts w:ascii="仿宋" w:eastAsia="仿宋" w:hAnsi="仿宋" w:cs="仿宋" w:hint="eastAsia"/>
          <w:color w:val="auto"/>
          <w:sz w:val="28"/>
          <w:szCs w:val="28"/>
        </w:rPr>
        <w:t>一带一路</w:t>
      </w:r>
      <w:r>
        <w:rPr>
          <w:rFonts w:ascii="仿宋" w:eastAsia="仿宋" w:hAnsi="仿宋" w:cs="仿宋"/>
          <w:color w:val="auto"/>
          <w:sz w:val="28"/>
          <w:szCs w:val="28"/>
        </w:rPr>
        <w:t>”</w:t>
      </w:r>
      <w:r>
        <w:rPr>
          <w:rFonts w:ascii="仿宋" w:eastAsia="仿宋" w:hAnsi="仿宋" w:cs="仿宋" w:hint="eastAsia"/>
          <w:color w:val="auto"/>
          <w:sz w:val="28"/>
          <w:szCs w:val="28"/>
        </w:rPr>
        <w:t>项目相关境外企业、或近一年无监管处罚信息的集团公司纳入优质客户名单的注册年限要求可适当放宽；</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2</w:t>
      </w:r>
      <w:r>
        <w:rPr>
          <w:rFonts w:ascii="仿宋" w:eastAsia="仿宋" w:hAnsi="仿宋" w:cs="仿宋" w:hint="eastAsia"/>
          <w:color w:val="auto"/>
          <w:sz w:val="28"/>
          <w:szCs w:val="28"/>
        </w:rPr>
        <w:t>）企业及股东方不涉及联合国、</w:t>
      </w:r>
      <w:r>
        <w:rPr>
          <w:rFonts w:ascii="仿宋" w:eastAsia="仿宋" w:hAnsi="仿宋" w:cs="仿宋"/>
          <w:color w:val="auto"/>
          <w:sz w:val="28"/>
          <w:szCs w:val="28"/>
        </w:rPr>
        <w:t>OFAC</w:t>
      </w:r>
      <w:r>
        <w:rPr>
          <w:rFonts w:ascii="仿宋" w:eastAsia="仿宋" w:hAnsi="仿宋" w:cs="仿宋" w:hint="eastAsia"/>
          <w:color w:val="auto"/>
          <w:sz w:val="28"/>
          <w:szCs w:val="28"/>
        </w:rPr>
        <w:t>、欧盟等组织及我国制裁名单，符合</w:t>
      </w:r>
      <w:r>
        <w:rPr>
          <w:rFonts w:ascii="仿宋" w:eastAsia="仿宋" w:hAnsi="仿宋" w:cs="仿宋"/>
          <w:color w:val="auto"/>
          <w:sz w:val="28"/>
          <w:szCs w:val="28"/>
        </w:rPr>
        <w:t>“</w:t>
      </w:r>
      <w:r>
        <w:rPr>
          <w:rFonts w:ascii="仿宋" w:eastAsia="仿宋" w:hAnsi="仿宋" w:cs="仿宋" w:hint="eastAsia"/>
          <w:color w:val="auto"/>
          <w:sz w:val="28"/>
          <w:szCs w:val="28"/>
        </w:rPr>
        <w:t>三反</w:t>
      </w:r>
      <w:r>
        <w:rPr>
          <w:rFonts w:ascii="仿宋" w:eastAsia="仿宋" w:hAnsi="仿宋" w:cs="仿宋"/>
          <w:color w:val="auto"/>
          <w:sz w:val="28"/>
          <w:szCs w:val="28"/>
        </w:rPr>
        <w:t>”</w:t>
      </w:r>
      <w:r>
        <w:rPr>
          <w:rFonts w:ascii="仿宋" w:eastAsia="仿宋" w:hAnsi="仿宋" w:cs="仿宋" w:hint="eastAsia"/>
          <w:color w:val="auto"/>
          <w:sz w:val="28"/>
          <w:szCs w:val="28"/>
        </w:rPr>
        <w:t>监管要求、国际惯例和各行相关规定；</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（3）已开立</w:t>
      </w:r>
      <w:r>
        <w:rPr>
          <w:rFonts w:ascii="仿宋" w:eastAsia="仿宋" w:hAnsi="仿宋" w:cs="仿宋"/>
          <w:color w:val="auto"/>
          <w:sz w:val="28"/>
          <w:szCs w:val="28"/>
        </w:rPr>
        <w:t>FTN</w:t>
      </w:r>
      <w:r>
        <w:rPr>
          <w:rFonts w:ascii="仿宋" w:eastAsia="仿宋" w:hAnsi="仿宋" w:cs="仿宋" w:hint="eastAsia"/>
          <w:color w:val="auto"/>
          <w:sz w:val="28"/>
          <w:szCs w:val="28"/>
        </w:rPr>
        <w:t>账户，并自账户开立之日起在本行系统内通过该账户办理结算业务累计</w:t>
      </w:r>
      <w:r>
        <w:rPr>
          <w:rFonts w:ascii="仿宋" w:eastAsia="仿宋" w:hAnsi="仿宋" w:cs="仿宋"/>
          <w:color w:val="auto"/>
          <w:sz w:val="28"/>
          <w:szCs w:val="28"/>
        </w:rPr>
        <w:t>30</w:t>
      </w:r>
      <w:r>
        <w:rPr>
          <w:rFonts w:ascii="仿宋" w:eastAsia="仿宋" w:hAnsi="仿宋" w:cs="仿宋" w:hint="eastAsia"/>
          <w:color w:val="auto"/>
          <w:sz w:val="28"/>
          <w:szCs w:val="28"/>
        </w:rPr>
        <w:t>次（含）以上；</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（4）本行总、分行级重点客户及其集团内成员企业。</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（5）银行认为需要符合的其他条件（需书面说明）。</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原则上同时满足（1）（2）条，并且满足（3）（4）（5）条标准之一的企业可认定为FTN优质客户。</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hint="eastAsia"/>
          <w:b/>
          <w:bCs/>
          <w:color w:val="auto"/>
          <w:sz w:val="28"/>
          <w:szCs w:val="28"/>
        </w:rPr>
        <w:t>二、动态调整</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b/>
          <w:bCs/>
          <w:color w:val="auto"/>
          <w:sz w:val="28"/>
          <w:szCs w:val="28"/>
        </w:rPr>
        <w:t>1</w:t>
      </w:r>
      <w:r>
        <w:rPr>
          <w:rFonts w:ascii="仿宋" w:eastAsia="仿宋" w:hAnsi="仿宋" w:cs="仿宋" w:hint="eastAsia"/>
          <w:b/>
          <w:bCs/>
          <w:color w:val="auto"/>
          <w:sz w:val="28"/>
          <w:szCs w:val="28"/>
        </w:rPr>
        <w:t>、名单备查制度</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银行应建立内部优质客户管理制度，厘定优质客户名单，并根据管理制度严格把控名单准入，根据准入和退出客户调整及时更新名单备查。确定和调整名单均需填写“FT账户优质企业调整报备模板”，于5个工作日内自律机制邮箱上报天津市银行外汇和跨境人民币自律机制（以下简称自律机制）</w:t>
      </w:r>
      <w:r>
        <w:rPr>
          <w:rFonts w:ascii="仿宋" w:eastAsia="仿宋" w:hAnsi="仿宋" w:hint="eastAsia"/>
          <w:sz w:val="28"/>
          <w:szCs w:val="28"/>
        </w:rPr>
        <w:t>，</w:t>
      </w:r>
      <w:r>
        <w:rPr>
          <w:rFonts w:ascii="仿宋" w:eastAsia="仿宋" w:hAnsi="仿宋" w:cs="仿宋" w:hint="eastAsia"/>
          <w:color w:val="auto"/>
          <w:sz w:val="28"/>
          <w:szCs w:val="28"/>
        </w:rPr>
        <w:t>由自律机制报告中国人民银行天津分行跨境人民币业务办公室。</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b/>
          <w:bCs/>
          <w:color w:val="auto"/>
          <w:sz w:val="28"/>
          <w:szCs w:val="28"/>
        </w:rPr>
        <w:t>2</w:t>
      </w:r>
      <w:r>
        <w:rPr>
          <w:rFonts w:ascii="仿宋" w:eastAsia="仿宋" w:hAnsi="仿宋" w:cs="仿宋" w:hint="eastAsia"/>
          <w:b/>
          <w:bCs/>
          <w:color w:val="auto"/>
          <w:sz w:val="28"/>
          <w:szCs w:val="28"/>
        </w:rPr>
        <w:t>、动态监控制度</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银行应加强对优质客户名单企业办理业务的持续跟踪和管理，实施动态监控制度，做好企业动态分类管理和事后评估工作。银行应至少每半年开展一次对客户业务的尽职调查，按比例抽查业务合规情况。</w:t>
      </w:r>
      <w:r>
        <w:rPr>
          <w:rFonts w:ascii="仿宋" w:eastAsia="仿宋" w:hAnsi="仿宋" w:cs="仿宋" w:hint="eastAsia"/>
          <w:color w:val="auto"/>
          <w:sz w:val="28"/>
          <w:szCs w:val="28"/>
        </w:rPr>
        <w:lastRenderedPageBreak/>
        <w:t>其中被抽查客户不得低于优质客户名单总量的</w:t>
      </w:r>
      <w:r>
        <w:rPr>
          <w:rFonts w:ascii="仿宋" w:eastAsia="仿宋" w:hAnsi="仿宋" w:cs="仿宋"/>
          <w:color w:val="auto"/>
          <w:sz w:val="28"/>
          <w:szCs w:val="28"/>
        </w:rPr>
        <w:t>10%</w:t>
      </w:r>
      <w:r>
        <w:rPr>
          <w:rFonts w:ascii="仿宋" w:eastAsia="仿宋" w:hAnsi="仿宋" w:cs="仿宋" w:hint="eastAsia"/>
          <w:color w:val="auto"/>
          <w:sz w:val="28"/>
          <w:szCs w:val="28"/>
        </w:rPr>
        <w:t>（含），单个客户被抽查业务笔数不得低于该客户在该行以简化流程办理业务笔数的前</w:t>
      </w:r>
      <w:r>
        <w:rPr>
          <w:rFonts w:ascii="仿宋" w:eastAsia="仿宋" w:hAnsi="仿宋" w:cs="仿宋"/>
          <w:color w:val="auto"/>
          <w:sz w:val="28"/>
          <w:szCs w:val="28"/>
        </w:rPr>
        <w:t>10%</w:t>
      </w:r>
      <w:r>
        <w:rPr>
          <w:rFonts w:ascii="仿宋" w:eastAsia="仿宋" w:hAnsi="仿宋" w:cs="仿宋" w:hint="eastAsia"/>
          <w:color w:val="auto"/>
          <w:sz w:val="28"/>
          <w:szCs w:val="28"/>
        </w:rPr>
        <w:t>（含）的大额业务。</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b/>
          <w:bCs/>
          <w:color w:val="auto"/>
          <w:sz w:val="28"/>
          <w:szCs w:val="28"/>
        </w:rPr>
        <w:t>3</w:t>
      </w:r>
      <w:r>
        <w:rPr>
          <w:rFonts w:ascii="仿宋" w:eastAsia="仿宋" w:hAnsi="仿宋" w:cs="仿宋" w:hint="eastAsia"/>
          <w:b/>
          <w:bCs/>
          <w:color w:val="auto"/>
          <w:sz w:val="28"/>
          <w:szCs w:val="28"/>
        </w:rPr>
        <w:t>、优质客户名单调整</w:t>
      </w:r>
    </w:p>
    <w:p w:rsidR="005D3976" w:rsidRDefault="005D3976" w:rsidP="005D3976">
      <w:pPr>
        <w:pStyle w:val="Default"/>
        <w:spacing w:line="360" w:lineRule="auto"/>
        <w:ind w:firstLineChars="200" w:firstLine="560"/>
        <w:jc w:val="both"/>
        <w:rPr>
          <w:rFonts w:ascii="仿宋" w:eastAsia="仿宋" w:hAnsi="仿宋" w:cs="Times New Roman"/>
          <w:color w:val="auto"/>
          <w:sz w:val="28"/>
          <w:szCs w:val="28"/>
        </w:rPr>
      </w:pPr>
      <w:r>
        <w:rPr>
          <w:rFonts w:ascii="仿宋" w:eastAsia="仿宋" w:hAnsi="仿宋" w:cs="仿宋" w:hint="eastAsia"/>
          <w:color w:val="auto"/>
          <w:sz w:val="28"/>
          <w:szCs w:val="28"/>
        </w:rPr>
        <w:t>银行在优质客户名单动态监控执行中如发现以下任一情况，应立即将该客户移出优质客户名单：</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1</w:t>
      </w:r>
      <w:r>
        <w:rPr>
          <w:rFonts w:ascii="仿宋" w:eastAsia="仿宋" w:hAnsi="仿宋" w:cs="仿宋" w:hint="eastAsia"/>
          <w:color w:val="auto"/>
          <w:sz w:val="28"/>
          <w:szCs w:val="28"/>
        </w:rPr>
        <w:t>）新列入人民银行出口货物贸易人民币结算企业重点监管名单的企业；</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2</w:t>
      </w:r>
      <w:r>
        <w:rPr>
          <w:rFonts w:ascii="仿宋" w:eastAsia="仿宋" w:hAnsi="仿宋" w:cs="仿宋" w:hint="eastAsia"/>
          <w:color w:val="auto"/>
          <w:sz w:val="28"/>
          <w:szCs w:val="28"/>
        </w:rPr>
        <w:t>）办理跨境货物贸易结算的企业</w:t>
      </w:r>
      <w:r>
        <w:rPr>
          <w:rFonts w:ascii="仿宋" w:eastAsia="仿宋" w:hAnsi="仿宋" w:cs="仿宋"/>
          <w:color w:val="auto"/>
          <w:sz w:val="28"/>
          <w:szCs w:val="28"/>
        </w:rPr>
        <w:t>,</w:t>
      </w:r>
      <w:r>
        <w:rPr>
          <w:rFonts w:ascii="仿宋" w:eastAsia="仿宋" w:hAnsi="仿宋" w:cs="仿宋" w:hint="eastAsia"/>
          <w:color w:val="auto"/>
          <w:sz w:val="28"/>
          <w:szCs w:val="28"/>
        </w:rPr>
        <w:t>其货物贸易分类等级调降为</w:t>
      </w:r>
      <w:r>
        <w:rPr>
          <w:rFonts w:ascii="仿宋" w:eastAsia="仿宋" w:hAnsi="仿宋" w:cs="仿宋"/>
          <w:color w:val="auto"/>
          <w:sz w:val="28"/>
          <w:szCs w:val="28"/>
        </w:rPr>
        <w:t>B</w:t>
      </w:r>
      <w:r>
        <w:rPr>
          <w:rFonts w:ascii="仿宋" w:eastAsia="仿宋" w:hAnsi="仿宋" w:cs="仿宋" w:hint="eastAsia"/>
          <w:color w:val="auto"/>
          <w:sz w:val="28"/>
          <w:szCs w:val="28"/>
        </w:rPr>
        <w:t>或</w:t>
      </w:r>
      <w:r>
        <w:rPr>
          <w:rFonts w:ascii="仿宋" w:eastAsia="仿宋" w:hAnsi="仿宋" w:cs="仿宋"/>
          <w:color w:val="auto"/>
          <w:sz w:val="28"/>
          <w:szCs w:val="28"/>
        </w:rPr>
        <w:t>C</w:t>
      </w:r>
      <w:r>
        <w:rPr>
          <w:rFonts w:ascii="仿宋" w:eastAsia="仿宋" w:hAnsi="仿宋" w:cs="仿宋" w:hint="eastAsia"/>
          <w:color w:val="auto"/>
          <w:sz w:val="28"/>
          <w:szCs w:val="28"/>
        </w:rPr>
        <w:t>类</w:t>
      </w:r>
      <w:r>
        <w:rPr>
          <w:rFonts w:ascii="仿宋" w:eastAsia="仿宋" w:hAnsi="仿宋" w:cs="仿宋"/>
          <w:color w:val="auto"/>
          <w:sz w:val="28"/>
          <w:szCs w:val="28"/>
        </w:rPr>
        <w:t>;</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3</w:t>
      </w:r>
      <w:r>
        <w:rPr>
          <w:rFonts w:ascii="仿宋" w:eastAsia="仿宋" w:hAnsi="仿宋" w:cs="仿宋" w:hint="eastAsia"/>
          <w:color w:val="auto"/>
          <w:sz w:val="28"/>
          <w:szCs w:val="28"/>
        </w:rPr>
        <w:t>）存在交易背景虚假、利用自由贸易账户转移资金等行为；</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4</w:t>
      </w:r>
      <w:r>
        <w:rPr>
          <w:rFonts w:ascii="仿宋" w:eastAsia="仿宋" w:hAnsi="仿宋" w:cs="仿宋" w:hint="eastAsia"/>
          <w:color w:val="auto"/>
          <w:sz w:val="28"/>
          <w:szCs w:val="28"/>
        </w:rPr>
        <w:t>）同一客户自其纳入优质客户名单一年内累计发生</w:t>
      </w:r>
      <w:r>
        <w:rPr>
          <w:rFonts w:ascii="仿宋" w:eastAsia="仿宋" w:hAnsi="仿宋" w:cs="仿宋"/>
          <w:color w:val="auto"/>
          <w:sz w:val="28"/>
          <w:szCs w:val="28"/>
        </w:rPr>
        <w:t>2</w:t>
      </w:r>
      <w:r>
        <w:rPr>
          <w:rFonts w:ascii="仿宋" w:eastAsia="仿宋" w:hAnsi="仿宋" w:cs="仿宋" w:hint="eastAsia"/>
          <w:color w:val="auto"/>
          <w:sz w:val="28"/>
          <w:szCs w:val="28"/>
        </w:rPr>
        <w:t>次（不含）以上收付款指令的资金交易性质与真实交易背景不符的；</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5</w:t>
      </w:r>
      <w:r>
        <w:rPr>
          <w:rFonts w:ascii="仿宋" w:eastAsia="仿宋" w:hAnsi="仿宋" w:cs="仿宋" w:hint="eastAsia"/>
          <w:color w:val="auto"/>
          <w:sz w:val="28"/>
          <w:szCs w:val="28"/>
        </w:rPr>
        <w:t>）受到监管处罚通报，或存在其他异常情况或违规行为；</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6</w:t>
      </w:r>
      <w:r>
        <w:rPr>
          <w:rFonts w:ascii="仿宋" w:eastAsia="仿宋" w:hAnsi="仿宋" w:cs="仿宋" w:hint="eastAsia"/>
          <w:color w:val="auto"/>
          <w:sz w:val="28"/>
          <w:szCs w:val="28"/>
        </w:rPr>
        <w:t>）企业及股东方被纳入联合国、</w:t>
      </w:r>
      <w:r>
        <w:rPr>
          <w:rFonts w:ascii="仿宋" w:eastAsia="仿宋" w:hAnsi="仿宋" w:cs="仿宋"/>
          <w:color w:val="auto"/>
          <w:sz w:val="28"/>
          <w:szCs w:val="28"/>
        </w:rPr>
        <w:t>OFAC</w:t>
      </w:r>
      <w:r>
        <w:rPr>
          <w:rFonts w:ascii="仿宋" w:eastAsia="仿宋" w:hAnsi="仿宋" w:cs="仿宋" w:hint="eastAsia"/>
          <w:color w:val="auto"/>
          <w:sz w:val="28"/>
          <w:szCs w:val="28"/>
        </w:rPr>
        <w:t>、欧盟等组织及我国制裁名单，违反有关</w:t>
      </w:r>
      <w:r>
        <w:rPr>
          <w:rFonts w:ascii="仿宋" w:eastAsia="仿宋" w:hAnsi="仿宋" w:cs="仿宋"/>
          <w:color w:val="auto"/>
          <w:sz w:val="28"/>
          <w:szCs w:val="28"/>
        </w:rPr>
        <w:t>“</w:t>
      </w:r>
      <w:r>
        <w:rPr>
          <w:rFonts w:ascii="仿宋" w:eastAsia="仿宋" w:hAnsi="仿宋" w:cs="仿宋" w:hint="eastAsia"/>
          <w:color w:val="auto"/>
          <w:sz w:val="28"/>
          <w:szCs w:val="28"/>
        </w:rPr>
        <w:t>三反</w:t>
      </w:r>
      <w:r>
        <w:rPr>
          <w:rFonts w:ascii="仿宋" w:eastAsia="仿宋" w:hAnsi="仿宋" w:cs="仿宋"/>
          <w:color w:val="auto"/>
          <w:sz w:val="28"/>
          <w:szCs w:val="28"/>
        </w:rPr>
        <w:t>”</w:t>
      </w:r>
      <w:r>
        <w:rPr>
          <w:rFonts w:ascii="仿宋" w:eastAsia="仿宋" w:hAnsi="仿宋" w:cs="仿宋" w:hint="eastAsia"/>
          <w:color w:val="auto"/>
          <w:sz w:val="28"/>
          <w:szCs w:val="28"/>
        </w:rPr>
        <w:t>监管要求、国际惯例和各行相关规定</w:t>
      </w:r>
      <w:r>
        <w:rPr>
          <w:rFonts w:ascii="仿宋" w:eastAsia="仿宋" w:hAnsi="仿宋" w:cs="仿宋"/>
          <w:color w:val="auto"/>
          <w:sz w:val="28"/>
          <w:szCs w:val="28"/>
        </w:rPr>
        <w:t>;</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w:t>
      </w:r>
      <w:r>
        <w:rPr>
          <w:rFonts w:ascii="仿宋" w:eastAsia="仿宋" w:hAnsi="仿宋" w:cs="仿宋"/>
          <w:color w:val="auto"/>
          <w:sz w:val="28"/>
          <w:szCs w:val="28"/>
        </w:rPr>
        <w:t>7</w:t>
      </w:r>
      <w:r>
        <w:rPr>
          <w:rFonts w:ascii="仿宋" w:eastAsia="仿宋" w:hAnsi="仿宋" w:cs="仿宋" w:hint="eastAsia"/>
          <w:color w:val="auto"/>
          <w:sz w:val="28"/>
          <w:szCs w:val="28"/>
        </w:rPr>
        <w:t>）银行认为需要移出的其他情况。</w:t>
      </w:r>
    </w:p>
    <w:p w:rsidR="005D3976" w:rsidRDefault="005D3976" w:rsidP="005D3976">
      <w:pPr>
        <w:pStyle w:val="Default"/>
        <w:spacing w:line="360" w:lineRule="auto"/>
        <w:ind w:firstLineChars="200" w:firstLine="562"/>
        <w:jc w:val="both"/>
        <w:rPr>
          <w:rFonts w:ascii="仿宋" w:eastAsia="仿宋" w:hAnsi="仿宋" w:cs="仿宋"/>
          <w:b/>
          <w:bCs/>
          <w:color w:val="auto"/>
          <w:sz w:val="28"/>
          <w:szCs w:val="28"/>
        </w:rPr>
      </w:pPr>
      <w:r>
        <w:rPr>
          <w:rFonts w:ascii="仿宋" w:eastAsia="仿宋" w:hAnsi="仿宋" w:cs="仿宋" w:hint="eastAsia"/>
          <w:b/>
          <w:bCs/>
          <w:color w:val="auto"/>
          <w:sz w:val="28"/>
          <w:szCs w:val="28"/>
        </w:rPr>
        <w:t>三、定期报告</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1、优质客户名单准入。银行确定名单需填写“FT账户优质企业调整报备模板”，于5个工作日内自律机制邮箱上报自律机制</w:t>
      </w:r>
      <w:r>
        <w:rPr>
          <w:rFonts w:ascii="仿宋" w:eastAsia="仿宋" w:hAnsi="仿宋" w:hint="eastAsia"/>
          <w:sz w:val="28"/>
          <w:szCs w:val="28"/>
        </w:rPr>
        <w:t>，</w:t>
      </w:r>
      <w:r>
        <w:rPr>
          <w:rFonts w:ascii="仿宋" w:eastAsia="仿宋" w:hAnsi="仿宋" w:cs="仿宋" w:hint="eastAsia"/>
          <w:color w:val="auto"/>
          <w:sz w:val="28"/>
          <w:szCs w:val="28"/>
        </w:rPr>
        <w:t>由自律机制报告中国人民银行天津分行跨境人民币业务办公室，并统一向天津市内商业银行通报。</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2、优质客户名单调整。发生移出优质客户名单情况的，银行应按以下流程办理：</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1、银行应自企业移出优质客户名单之日起</w:t>
      </w:r>
      <w:r>
        <w:rPr>
          <w:rFonts w:ascii="仿宋" w:eastAsia="仿宋" w:hAnsi="仿宋" w:cs="仿宋"/>
          <w:color w:val="auto"/>
          <w:sz w:val="28"/>
          <w:szCs w:val="28"/>
        </w:rPr>
        <w:t>5</w:t>
      </w:r>
      <w:r>
        <w:rPr>
          <w:rFonts w:ascii="仿宋" w:eastAsia="仿宋" w:hAnsi="仿宋" w:cs="仿宋" w:hint="eastAsia"/>
          <w:color w:val="auto"/>
          <w:sz w:val="28"/>
          <w:szCs w:val="28"/>
        </w:rPr>
        <w:t>个工作日内，填写“FT</w:t>
      </w:r>
      <w:r>
        <w:rPr>
          <w:rFonts w:ascii="仿宋" w:eastAsia="仿宋" w:hAnsi="仿宋" w:cs="仿宋" w:hint="eastAsia"/>
          <w:color w:val="auto"/>
          <w:sz w:val="28"/>
          <w:szCs w:val="28"/>
        </w:rPr>
        <w:lastRenderedPageBreak/>
        <w:t>账户优质企业调整报备模板”，及时将移出企业信息上报自律机制，由自律机制报告中国人民银行天津分行跨境人民币业务办公室，并统一向天津市内商业银行通报。通报名单内企业自通报之日起一年内不得适用简化流程在各行办理相关业务，且参加本操作指引的银行不得将其纳入优质客户名单。各银行对通报的企业办理跨</w:t>
      </w:r>
      <w:r>
        <w:rPr>
          <w:rFonts w:ascii="仿宋" w:eastAsia="仿宋" w:hAnsi="仿宋" w:cs="仿宋"/>
          <w:color w:val="auto"/>
          <w:sz w:val="28"/>
          <w:szCs w:val="28"/>
        </w:rPr>
        <w:t>“</w:t>
      </w:r>
      <w:r>
        <w:rPr>
          <w:rFonts w:ascii="仿宋" w:eastAsia="仿宋" w:hAnsi="仿宋" w:cs="仿宋" w:hint="eastAsia"/>
          <w:color w:val="auto"/>
          <w:sz w:val="28"/>
          <w:szCs w:val="28"/>
        </w:rPr>
        <w:t>一线</w:t>
      </w:r>
      <w:r>
        <w:rPr>
          <w:rFonts w:ascii="仿宋" w:eastAsia="仿宋" w:hAnsi="仿宋" w:cs="仿宋"/>
          <w:color w:val="auto"/>
          <w:sz w:val="28"/>
          <w:szCs w:val="28"/>
        </w:rPr>
        <w:t>”</w:t>
      </w:r>
      <w:r>
        <w:rPr>
          <w:rFonts w:ascii="仿宋" w:eastAsia="仿宋" w:hAnsi="仿宋" w:cs="仿宋" w:hint="eastAsia"/>
          <w:color w:val="auto"/>
          <w:sz w:val="28"/>
          <w:szCs w:val="28"/>
        </w:rPr>
        <w:t>及</w:t>
      </w:r>
      <w:r>
        <w:rPr>
          <w:rFonts w:ascii="仿宋" w:eastAsia="仿宋" w:hAnsi="仿宋" w:cs="仿宋"/>
          <w:color w:val="auto"/>
          <w:sz w:val="28"/>
          <w:szCs w:val="28"/>
        </w:rPr>
        <w:t>“</w:t>
      </w:r>
      <w:r>
        <w:rPr>
          <w:rFonts w:ascii="仿宋" w:eastAsia="仿宋" w:hAnsi="仿宋" w:cs="仿宋" w:hint="eastAsia"/>
          <w:color w:val="auto"/>
          <w:sz w:val="28"/>
          <w:szCs w:val="28"/>
        </w:rPr>
        <w:t>二线</w:t>
      </w:r>
      <w:r>
        <w:rPr>
          <w:rFonts w:ascii="仿宋" w:eastAsia="仿宋" w:hAnsi="仿宋" w:cs="仿宋"/>
          <w:color w:val="auto"/>
          <w:sz w:val="28"/>
          <w:szCs w:val="28"/>
        </w:rPr>
        <w:t>”</w:t>
      </w:r>
      <w:r>
        <w:rPr>
          <w:rFonts w:ascii="仿宋" w:eastAsia="仿宋" w:hAnsi="仿宋" w:cs="仿宋" w:hint="eastAsia"/>
          <w:color w:val="auto"/>
          <w:sz w:val="28"/>
          <w:szCs w:val="28"/>
        </w:rPr>
        <w:t>结算时，应按照有关标准流程，事先逐笔逐单严格审核有关交易背景佐证材料无误后，方可办理结算。</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针对移出企业再次申请纳入优质客户名单的，银行应给予其一年考察期，自企业被自律机制通报为移出优质客户名单之日起算。银行可根据优质客户准入基本条件，结合该客户考察期内业务办理情况，在一年考察期满后，如该客户未出现</w:t>
      </w:r>
      <w:r>
        <w:rPr>
          <w:rFonts w:ascii="仿宋" w:eastAsia="仿宋" w:hAnsi="仿宋" w:cs="仿宋"/>
          <w:color w:val="auto"/>
          <w:sz w:val="28"/>
          <w:szCs w:val="28"/>
        </w:rPr>
        <w:t>“</w:t>
      </w:r>
      <w:r>
        <w:rPr>
          <w:rFonts w:ascii="仿宋" w:eastAsia="仿宋" w:hAnsi="仿宋" w:cs="仿宋" w:hint="eastAsia"/>
          <w:color w:val="auto"/>
          <w:sz w:val="28"/>
          <w:szCs w:val="28"/>
        </w:rPr>
        <w:t>优质客户名单调整</w:t>
      </w:r>
      <w:r>
        <w:rPr>
          <w:rFonts w:ascii="仿宋" w:eastAsia="仿宋" w:hAnsi="仿宋" w:cs="仿宋"/>
          <w:color w:val="auto"/>
          <w:sz w:val="28"/>
          <w:szCs w:val="28"/>
        </w:rPr>
        <w:t>”</w:t>
      </w:r>
      <w:r>
        <w:rPr>
          <w:rFonts w:ascii="仿宋" w:eastAsia="仿宋" w:hAnsi="仿宋" w:cs="仿宋" w:hint="eastAsia"/>
          <w:color w:val="auto"/>
          <w:sz w:val="28"/>
          <w:szCs w:val="28"/>
        </w:rPr>
        <w:t>中列明的情况，可酌情再次纳入优质客户名单。同时，银行确定重新纳入的优质客户名单，填写“FT账户优质企业调整报备模板”，于5个工作日内通过自律机制邮箱上报自律机制</w:t>
      </w:r>
      <w:r>
        <w:rPr>
          <w:rFonts w:ascii="仿宋" w:eastAsia="仿宋" w:hAnsi="仿宋" w:hint="eastAsia"/>
          <w:sz w:val="28"/>
          <w:szCs w:val="28"/>
        </w:rPr>
        <w:t>，</w:t>
      </w:r>
      <w:r>
        <w:rPr>
          <w:rFonts w:ascii="仿宋" w:eastAsia="仿宋" w:hAnsi="仿宋" w:cs="仿宋" w:hint="eastAsia"/>
          <w:color w:val="auto"/>
          <w:sz w:val="28"/>
          <w:szCs w:val="28"/>
        </w:rPr>
        <w:t>由自律机制报告中国人民银行天津分行跨境人民币业务办公室，并统一向天津市内商业银行通报。</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3、累计两次被移出优质客户名单的客户，参加本操作指引的银行不得将其再次纳入优质客户名单。</w:t>
      </w:r>
    </w:p>
    <w:p w:rsidR="005D3976" w:rsidRDefault="005D3976" w:rsidP="005D3976">
      <w:pPr>
        <w:pStyle w:val="Default"/>
        <w:pageBreakBefore/>
        <w:spacing w:line="360" w:lineRule="auto"/>
        <w:ind w:firstLineChars="200" w:firstLine="562"/>
        <w:jc w:val="both"/>
        <w:rPr>
          <w:rFonts w:ascii="仿宋" w:eastAsia="仿宋" w:hAnsi="仿宋" w:cs="宋体"/>
          <w:b/>
          <w:bCs/>
          <w:color w:val="auto"/>
          <w:sz w:val="28"/>
          <w:szCs w:val="28"/>
        </w:rPr>
      </w:pPr>
      <w:r>
        <w:rPr>
          <w:rFonts w:ascii="仿宋" w:eastAsia="仿宋" w:hAnsi="仿宋" w:cs="仿宋" w:hint="eastAsia"/>
          <w:b/>
          <w:bCs/>
          <w:color w:val="auto"/>
          <w:sz w:val="28"/>
          <w:szCs w:val="28"/>
        </w:rPr>
        <w:lastRenderedPageBreak/>
        <w:t xml:space="preserve">附件2：   </w:t>
      </w:r>
      <w:r>
        <w:rPr>
          <w:rFonts w:ascii="仿宋" w:eastAsia="仿宋" w:hAnsi="仿宋" w:cs="宋体"/>
          <w:b/>
          <w:bCs/>
          <w:color w:val="auto"/>
          <w:sz w:val="28"/>
          <w:szCs w:val="28"/>
        </w:rPr>
        <w:t>《自由贸易账户业务自律承诺书》</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XX银行</w:t>
      </w:r>
      <w:r>
        <w:rPr>
          <w:rFonts w:ascii="仿宋" w:eastAsia="仿宋" w:hAnsi="仿宋" w:cs="仿宋"/>
          <w:color w:val="auto"/>
          <w:sz w:val="28"/>
          <w:szCs w:val="28"/>
        </w:rPr>
        <w:t>XX</w:t>
      </w:r>
      <w:r>
        <w:rPr>
          <w:rFonts w:ascii="仿宋" w:eastAsia="仿宋" w:hAnsi="仿宋" w:cs="仿宋" w:hint="eastAsia"/>
          <w:color w:val="auto"/>
          <w:sz w:val="28"/>
          <w:szCs w:val="28"/>
        </w:rPr>
        <w:t>分行</w:t>
      </w:r>
      <w:r>
        <w:rPr>
          <w:rFonts w:ascii="仿宋" w:eastAsia="仿宋" w:hAnsi="仿宋" w:cs="仿宋"/>
          <w:color w:val="auto"/>
          <w:sz w:val="28"/>
          <w:szCs w:val="28"/>
        </w:rPr>
        <w:t>/</w:t>
      </w:r>
      <w:r>
        <w:rPr>
          <w:rFonts w:ascii="仿宋" w:eastAsia="仿宋" w:hAnsi="仿宋" w:cs="仿宋" w:hint="eastAsia"/>
          <w:color w:val="auto"/>
          <w:sz w:val="28"/>
          <w:szCs w:val="28"/>
        </w:rPr>
        <w:t>支行：</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我司</w:t>
      </w:r>
      <w:r>
        <w:rPr>
          <w:rFonts w:ascii="仿宋" w:eastAsia="仿宋" w:hAnsi="仿宋" w:cs="仿宋"/>
          <w:color w:val="auto"/>
          <w:sz w:val="28"/>
          <w:szCs w:val="28"/>
        </w:rPr>
        <w:t>_______________________</w:t>
      </w:r>
      <w:r>
        <w:rPr>
          <w:rFonts w:ascii="仿宋" w:eastAsia="仿宋" w:hAnsi="仿宋" w:cs="仿宋" w:hint="eastAsia"/>
          <w:color w:val="auto"/>
          <w:sz w:val="28"/>
          <w:szCs w:val="28"/>
        </w:rPr>
        <w:t>（企业名称）</w:t>
      </w:r>
      <w:r>
        <w:rPr>
          <w:rFonts w:ascii="仿宋" w:eastAsia="仿宋" w:hAnsi="仿宋" w:cs="仿宋"/>
          <w:color w:val="auto"/>
          <w:sz w:val="28"/>
          <w:szCs w:val="28"/>
        </w:rPr>
        <w:t>,</w:t>
      </w:r>
      <w:r>
        <w:rPr>
          <w:rFonts w:ascii="仿宋" w:eastAsia="仿宋" w:hAnsi="仿宋" w:cs="仿宋" w:hint="eastAsia"/>
          <w:color w:val="auto"/>
          <w:sz w:val="28"/>
          <w:szCs w:val="28"/>
        </w:rPr>
        <w:t>在贵行开立的自由贸易账户（账号：                 ），拟通过该自由贸易账户开展经常及资本项下资金交易。</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现我司郑重承诺：</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1</w:t>
      </w:r>
      <w:r>
        <w:rPr>
          <w:rFonts w:ascii="仿宋" w:eastAsia="仿宋" w:hAnsi="仿宋" w:cs="仿宋" w:hint="eastAsia"/>
          <w:color w:val="auto"/>
          <w:sz w:val="28"/>
          <w:szCs w:val="28"/>
        </w:rPr>
        <w:t>、我司开展的各类经营活动符合中华人民共和国法律、行政法规及监管规定，均不涉及洗钱、恐怖融资、逃税等危害国家风险防范体制及经济金融秩序的行为。</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2</w:t>
      </w:r>
      <w:r>
        <w:rPr>
          <w:rFonts w:ascii="仿宋" w:eastAsia="仿宋" w:hAnsi="仿宋" w:cs="仿宋" w:hint="eastAsia"/>
          <w:color w:val="auto"/>
          <w:sz w:val="28"/>
          <w:szCs w:val="28"/>
        </w:rPr>
        <w:t>、我司向贵行申请开展的收付汇业务均具有合法真实有效的交易背景。</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3</w:t>
      </w:r>
      <w:r>
        <w:rPr>
          <w:rFonts w:ascii="仿宋" w:eastAsia="仿宋" w:hAnsi="仿宋" w:cs="仿宋" w:hint="eastAsia"/>
          <w:color w:val="auto"/>
          <w:sz w:val="28"/>
          <w:szCs w:val="28"/>
        </w:rPr>
        <w:t>、资本项目收付汇项下，我司已根据法律、法规及监管规定办妥所有的审批、备案、登记等手续，已获得相关行政主管部门同意。</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4</w:t>
      </w:r>
      <w:r>
        <w:rPr>
          <w:rFonts w:ascii="仿宋" w:eastAsia="仿宋" w:hAnsi="仿宋" w:cs="仿宋" w:hint="eastAsia"/>
          <w:color w:val="auto"/>
          <w:sz w:val="28"/>
          <w:szCs w:val="28"/>
        </w:rPr>
        <w:t>、我司交易相关的业务背景资料均合法、真实、有效，且提交的汇划指令各项要素与业务背景资料中对应要素完全一致。</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5</w:t>
      </w:r>
      <w:r>
        <w:rPr>
          <w:rFonts w:ascii="仿宋" w:eastAsia="仿宋" w:hAnsi="仿宋" w:cs="仿宋" w:hint="eastAsia"/>
          <w:color w:val="auto"/>
          <w:sz w:val="28"/>
          <w:szCs w:val="28"/>
        </w:rPr>
        <w:t>、我司将妥善保管与资金交易申请相匹配的所有业务背景资料，包括但不限于经营活动相关资料、监管登记及批复证明材料（如有）等。我司将根据外部监管要求或贵行合规管理要求，向监管机构或贵行及时配合提供全套业务资料以供检查监督。</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6</w:t>
      </w:r>
      <w:r>
        <w:rPr>
          <w:rFonts w:ascii="仿宋" w:eastAsia="仿宋" w:hAnsi="仿宋" w:cs="仿宋" w:hint="eastAsia"/>
          <w:color w:val="auto"/>
          <w:sz w:val="28"/>
          <w:szCs w:val="28"/>
        </w:rPr>
        <w:t>、我司知晓并同意，如我司违反前述承诺，我司资金交易不再适用简易流程。</w:t>
      </w:r>
    </w:p>
    <w:p w:rsidR="005D3976" w:rsidRDefault="005D3976" w:rsidP="005D3976">
      <w:pPr>
        <w:pStyle w:val="Default"/>
        <w:spacing w:line="360" w:lineRule="auto"/>
        <w:ind w:firstLineChars="200" w:firstLine="560"/>
        <w:jc w:val="both"/>
        <w:rPr>
          <w:rFonts w:ascii="仿宋" w:eastAsia="仿宋" w:hAnsi="仿宋" w:cs="仿宋"/>
          <w:color w:val="auto"/>
          <w:sz w:val="28"/>
          <w:szCs w:val="28"/>
        </w:rPr>
      </w:pPr>
      <w:r>
        <w:rPr>
          <w:rFonts w:ascii="仿宋" w:eastAsia="仿宋" w:hAnsi="仿宋" w:cs="Times New Roman"/>
          <w:color w:val="auto"/>
          <w:sz w:val="28"/>
          <w:szCs w:val="28"/>
        </w:rPr>
        <w:t>7</w:t>
      </w:r>
      <w:r>
        <w:rPr>
          <w:rFonts w:ascii="仿宋" w:eastAsia="仿宋" w:hAnsi="仿宋" w:cs="仿宋" w:hint="eastAsia"/>
          <w:color w:val="auto"/>
          <w:sz w:val="28"/>
          <w:szCs w:val="28"/>
        </w:rPr>
        <w:t>、本承诺书自我司签署之日起生效。</w:t>
      </w:r>
    </w:p>
    <w:p w:rsidR="005D3976" w:rsidRDefault="005D3976" w:rsidP="005D3976">
      <w:pPr>
        <w:pStyle w:val="Default"/>
        <w:spacing w:line="360" w:lineRule="auto"/>
        <w:ind w:firstLineChars="200" w:firstLine="560"/>
        <w:jc w:val="center"/>
        <w:rPr>
          <w:rFonts w:ascii="仿宋" w:eastAsia="仿宋" w:hAnsi="仿宋" w:cs="仿宋"/>
          <w:color w:val="auto"/>
          <w:sz w:val="28"/>
          <w:szCs w:val="28"/>
        </w:rPr>
      </w:pPr>
      <w:r>
        <w:rPr>
          <w:rFonts w:ascii="仿宋" w:eastAsia="仿宋" w:hAnsi="仿宋" w:cs="仿宋" w:hint="eastAsia"/>
          <w:color w:val="auto"/>
          <w:sz w:val="28"/>
          <w:szCs w:val="28"/>
        </w:rPr>
        <w:t xml:space="preserve">              企业名称（公章）：</w:t>
      </w:r>
    </w:p>
    <w:p w:rsidR="005D3976" w:rsidRDefault="005D3976" w:rsidP="005D3976">
      <w:pPr>
        <w:pStyle w:val="Default"/>
        <w:spacing w:line="360" w:lineRule="auto"/>
        <w:ind w:firstLineChars="800" w:firstLine="2240"/>
        <w:jc w:val="both"/>
        <w:rPr>
          <w:rFonts w:ascii="仿宋" w:eastAsia="仿宋" w:hAnsi="仿宋" w:cs="仿宋"/>
          <w:color w:val="auto"/>
          <w:sz w:val="28"/>
          <w:szCs w:val="28"/>
        </w:rPr>
      </w:pPr>
      <w:r>
        <w:rPr>
          <w:rFonts w:ascii="仿宋" w:eastAsia="仿宋" w:hAnsi="仿宋" w:cs="仿宋" w:hint="eastAsia"/>
          <w:color w:val="auto"/>
          <w:sz w:val="28"/>
          <w:szCs w:val="28"/>
        </w:rPr>
        <w:t>法定代表人或授权代理人（签字）</w:t>
      </w:r>
      <w:r>
        <w:rPr>
          <w:rFonts w:ascii="仿宋" w:eastAsia="仿宋" w:hAnsi="仿宋" w:cs="仿宋"/>
          <w:color w:val="auto"/>
          <w:sz w:val="28"/>
          <w:szCs w:val="28"/>
        </w:rPr>
        <w:t>:</w:t>
      </w:r>
    </w:p>
    <w:p w:rsidR="005D3976" w:rsidRDefault="005D3976" w:rsidP="005D3976">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年  月  日</w:t>
      </w:r>
    </w:p>
    <w:p w:rsidR="005D3976" w:rsidRDefault="005D3976" w:rsidP="005D3976">
      <w:pPr>
        <w:widowControl/>
        <w:jc w:val="left"/>
        <w:rPr>
          <w:rFonts w:ascii="宋体" w:hAnsi="宋体" w:cs="宋体"/>
          <w:color w:val="000000"/>
          <w:kern w:val="0"/>
          <w:sz w:val="22"/>
        </w:rPr>
        <w:sectPr w:rsidR="005D3976" w:rsidSect="00A41CE5">
          <w:footerReference w:type="default" r:id="rId4"/>
          <w:pgSz w:w="11906" w:h="16838"/>
          <w:pgMar w:top="1440" w:right="1800" w:bottom="1440" w:left="1800" w:header="851" w:footer="992" w:gutter="0"/>
          <w:cols w:space="720"/>
          <w:docGrid w:linePitch="312"/>
        </w:sectPr>
      </w:pPr>
    </w:p>
    <w:tbl>
      <w:tblPr>
        <w:tblW w:w="9240" w:type="dxa"/>
        <w:tblInd w:w="98" w:type="dxa"/>
        <w:tblLook w:val="04A0" w:firstRow="1" w:lastRow="0" w:firstColumn="1" w:lastColumn="0" w:noHBand="0" w:noVBand="1"/>
      </w:tblPr>
      <w:tblGrid>
        <w:gridCol w:w="1000"/>
        <w:gridCol w:w="1181"/>
        <w:gridCol w:w="1758"/>
        <w:gridCol w:w="1181"/>
        <w:gridCol w:w="1181"/>
        <w:gridCol w:w="1181"/>
        <w:gridCol w:w="1758"/>
      </w:tblGrid>
      <w:tr w:rsidR="005D3976" w:rsidRPr="006F3A55" w:rsidTr="0015407D">
        <w:trPr>
          <w:trHeight w:val="60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仿宋" w:eastAsia="仿宋" w:hAnsi="仿宋" w:cs="仿宋" w:hint="eastAsia"/>
                <w:b/>
                <w:bCs/>
                <w:kern w:val="0"/>
                <w:sz w:val="28"/>
                <w:szCs w:val="28"/>
              </w:rPr>
              <w:lastRenderedPageBreak/>
              <w:t>附件3</w:t>
            </w:r>
          </w:p>
        </w:tc>
        <w:tc>
          <w:tcPr>
            <w:tcW w:w="8240" w:type="dxa"/>
            <w:gridSpan w:val="6"/>
            <w:tcBorders>
              <w:top w:val="nil"/>
              <w:left w:val="nil"/>
              <w:bottom w:val="single" w:sz="4" w:space="0" w:color="auto"/>
              <w:right w:val="nil"/>
            </w:tcBorders>
            <w:shd w:val="clear" w:color="auto" w:fill="auto"/>
            <w:noWrap/>
            <w:vAlign w:val="center"/>
            <w:hideMark/>
          </w:tcPr>
          <w:p w:rsidR="005D3976" w:rsidRPr="006F3A55" w:rsidRDefault="005D3976" w:rsidP="0015407D">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FT</w:t>
            </w:r>
            <w:r w:rsidRPr="006F3A55">
              <w:rPr>
                <w:rFonts w:ascii="黑体" w:eastAsia="黑体" w:hAnsi="黑体" w:cs="宋体" w:hint="eastAsia"/>
                <w:color w:val="000000"/>
                <w:kern w:val="0"/>
                <w:sz w:val="28"/>
                <w:szCs w:val="28"/>
              </w:rPr>
              <w:t>账户优质企业调整报备模板</w:t>
            </w:r>
          </w:p>
        </w:tc>
      </w:tr>
      <w:tr w:rsidR="005D3976" w:rsidRPr="006F3A55" w:rsidTr="0015407D">
        <w:trPr>
          <w:trHeight w:val="45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商业银行</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备案事由</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组织机构代码</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企业名称</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入选条件</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移出原因</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其他原因说明</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4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c>
          <w:tcPr>
            <w:tcW w:w="1758" w:type="dxa"/>
            <w:tcBorders>
              <w:top w:val="nil"/>
              <w:left w:val="nil"/>
              <w:bottom w:val="single" w:sz="4" w:space="0" w:color="auto"/>
              <w:right w:val="single" w:sz="4" w:space="0" w:color="auto"/>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 xml:space="preserve">　</w:t>
            </w:r>
          </w:p>
        </w:tc>
      </w:tr>
      <w:tr w:rsidR="005D3976" w:rsidRPr="006F3A55" w:rsidTr="0015407D">
        <w:trPr>
          <w:trHeight w:val="28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r>
      <w:tr w:rsidR="005D3976" w:rsidRPr="006F3A55" w:rsidTr="0015407D">
        <w:trPr>
          <w:trHeight w:val="42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r>
      <w:tr w:rsidR="005D3976" w:rsidRPr="006F3A55" w:rsidTr="0015407D">
        <w:trPr>
          <w:trHeight w:val="42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r>
      <w:tr w:rsidR="005D3976" w:rsidRPr="006F3A55" w:rsidTr="0015407D">
        <w:trPr>
          <w:trHeight w:val="42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center"/>
              <w:rPr>
                <w:rFonts w:ascii="宋体" w:hAnsi="宋体" w:cs="宋体"/>
                <w:color w:val="000000"/>
                <w:kern w:val="0"/>
                <w:sz w:val="22"/>
              </w:rPr>
            </w:pPr>
            <w:r w:rsidRPr="006F3A55">
              <w:rPr>
                <w:rFonts w:ascii="宋体" w:hAnsi="宋体" w:cs="宋体" w:hint="eastAsia"/>
                <w:color w:val="000000"/>
                <w:kern w:val="0"/>
                <w:sz w:val="22"/>
              </w:rPr>
              <w:t>填报日期</w:t>
            </w: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r>
      <w:tr w:rsidR="005D3976" w:rsidRPr="006F3A55" w:rsidTr="0015407D">
        <w:trPr>
          <w:trHeight w:val="420"/>
        </w:trPr>
        <w:tc>
          <w:tcPr>
            <w:tcW w:w="1000"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181"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c>
          <w:tcPr>
            <w:tcW w:w="1758" w:type="dxa"/>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p>
        </w:tc>
      </w:tr>
      <w:tr w:rsidR="005D3976" w:rsidRPr="006F3A55" w:rsidTr="0015407D">
        <w:trPr>
          <w:trHeight w:val="420"/>
        </w:trPr>
        <w:tc>
          <w:tcPr>
            <w:tcW w:w="9240" w:type="dxa"/>
            <w:gridSpan w:val="7"/>
            <w:tcBorders>
              <w:top w:val="nil"/>
              <w:left w:val="nil"/>
              <w:bottom w:val="nil"/>
              <w:right w:val="nil"/>
            </w:tcBorders>
            <w:shd w:val="clear" w:color="auto" w:fill="auto"/>
            <w:noWrap/>
            <w:vAlign w:val="center"/>
            <w:hideMark/>
          </w:tcPr>
          <w:p w:rsidR="005D3976" w:rsidRPr="006F3A55" w:rsidRDefault="005D3976" w:rsidP="0015407D">
            <w:pPr>
              <w:widowControl/>
              <w:jc w:val="left"/>
              <w:rPr>
                <w:rFonts w:ascii="宋体" w:hAnsi="宋体" w:cs="宋体"/>
                <w:color w:val="000000"/>
                <w:kern w:val="0"/>
                <w:sz w:val="22"/>
              </w:rPr>
            </w:pPr>
            <w:r w:rsidRPr="006F3A55">
              <w:rPr>
                <w:rFonts w:ascii="宋体" w:hAnsi="宋体" w:cs="宋体" w:hint="eastAsia"/>
                <w:color w:val="000000"/>
                <w:kern w:val="0"/>
                <w:sz w:val="22"/>
              </w:rPr>
              <w:t>本表报中国人民银行天津分行跨境人民币业务办公室备案</w:t>
            </w:r>
          </w:p>
        </w:tc>
      </w:tr>
    </w:tbl>
    <w:p w:rsidR="00493415" w:rsidRPr="005D3976" w:rsidRDefault="00493415">
      <w:bookmarkStart w:id="0" w:name="_GoBack"/>
      <w:bookmarkEnd w:id="0"/>
    </w:p>
    <w:sectPr w:rsidR="00493415" w:rsidRPr="005D3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E5" w:rsidRDefault="005D3976">
    <w:pPr>
      <w:pStyle w:val="a3"/>
      <w:jc w:val="center"/>
    </w:pPr>
    <w:r>
      <w:fldChar w:fldCharType="begin"/>
    </w:r>
    <w:r>
      <w:instrText xml:space="preserve"> PAGE   \* MERGEFORMAT </w:instrText>
    </w:r>
    <w:r>
      <w:fldChar w:fldCharType="separate"/>
    </w:r>
    <w:r w:rsidRPr="005D3976">
      <w:rPr>
        <w:noProof/>
        <w:lang w:val="zh-CN"/>
      </w:rPr>
      <w:t>6</w:t>
    </w:r>
    <w:r>
      <w:fldChar w:fldCharType="end"/>
    </w:r>
  </w:p>
  <w:p w:rsidR="00A41CE5" w:rsidRDefault="005D397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6"/>
    <w:rsid w:val="00493415"/>
    <w:rsid w:val="005D3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5991-CC2E-4211-9BD9-972E871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D3976"/>
    <w:pPr>
      <w:tabs>
        <w:tab w:val="center" w:pos="4153"/>
        <w:tab w:val="right" w:pos="8306"/>
      </w:tabs>
      <w:snapToGrid w:val="0"/>
      <w:jc w:val="left"/>
    </w:pPr>
    <w:rPr>
      <w:rFonts w:ascii="Times New Roman" w:hAnsi="Times New Roman"/>
      <w:sz w:val="18"/>
    </w:rPr>
  </w:style>
  <w:style w:type="character" w:customStyle="1" w:styleId="a4">
    <w:name w:val="页脚 字符"/>
    <w:basedOn w:val="a0"/>
    <w:link w:val="a3"/>
    <w:uiPriority w:val="99"/>
    <w:qFormat/>
    <w:rsid w:val="005D3976"/>
    <w:rPr>
      <w:rFonts w:ascii="Times New Roman" w:eastAsia="宋体" w:hAnsi="Times New Roman" w:cs="Times New Roman"/>
      <w:sz w:val="18"/>
    </w:rPr>
  </w:style>
  <w:style w:type="paragraph" w:customStyle="1" w:styleId="Default">
    <w:name w:val="Default"/>
    <w:qFormat/>
    <w:rsid w:val="005D3976"/>
    <w:pPr>
      <w:widowControl w:val="0"/>
      <w:autoSpaceDE w:val="0"/>
      <w:autoSpaceDN w:val="0"/>
      <w:adjustRightInd w:val="0"/>
    </w:pPr>
    <w:rPr>
      <w:rFonts w:ascii="华文隶书" w:eastAsia="宋体" w:hAnsi="华文隶书" w:cs="华文隶书"/>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445</Words>
  <Characters>2543</Characters>
  <Application>Microsoft Office Word</Application>
  <DocSecurity>0</DocSecurity>
  <Lines>21</Lines>
  <Paragraphs>5</Paragraphs>
  <ScaleCrop>false</ScaleCrop>
  <Company>神州网信技术有限公司</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2020-05-13T03:13:00Z</dcterms:created>
  <dcterms:modified xsi:type="dcterms:W3CDTF">2020-05-13T03:14:00Z</dcterms:modified>
</cp:coreProperties>
</file>