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再生资源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回收登记台账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lang w:eastAsia="zh-CN"/>
        </w:rPr>
        <w:t>再生资源回收经营者名称：</w:t>
      </w:r>
    </w:p>
    <w:tbl>
      <w:tblPr>
        <w:tblStyle w:val="3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80"/>
        <w:gridCol w:w="2204"/>
        <w:gridCol w:w="263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种类</w:t>
            </w: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重量（千克）</w:t>
            </w:r>
          </w:p>
        </w:tc>
        <w:tc>
          <w:tcPr>
            <w:tcW w:w="4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可回收物来源登记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生活垃圾收运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  <w:t>居民或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1"/>
                <w:vertAlign w:val="baseline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>注：1. 种类主要包括，废纸、废塑料、废金属、废玻璃、废织物等；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 xml:space="preserve">    2. 此表一式三份，各区政府、生活垃圾收运单位、再生资源回收单位各留一份备查；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 xml:space="preserve">    3. 此表为样表，各区可根据本区实际进行调整。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0EE"/>
    <w:rsid w:val="75B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2021-03-25T07:07:00Z</dcterms:created>
  <dc:creator>YY</dc:creator>
  <cp:lastModifiedBy>YY</cp:lastModifiedBy>
  <dcterms:modified xsi:type="dcterms:W3CDTF">2021-03-25T07:08:12Z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0F967AB14BB145A98E1FD4BE36552011</vt:lpwstr>
  </property>
</Properties>
</file>