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312" w:rsidRPr="00926312" w:rsidRDefault="00926312" w:rsidP="00926312">
      <w:pPr>
        <w:widowControl/>
        <w:shd w:val="clear" w:color="auto" w:fill="FFFFFF"/>
        <w:jc w:val="center"/>
        <w:outlineLvl w:val="0"/>
        <w:rPr>
          <w:rFonts w:ascii="微软雅黑" w:eastAsia="微软雅黑" w:hAnsi="微软雅黑" w:cs="宋体"/>
          <w:color w:val="343434"/>
          <w:kern w:val="36"/>
          <w:sz w:val="35"/>
          <w:szCs w:val="35"/>
        </w:rPr>
      </w:pPr>
      <w:bookmarkStart w:id="0" w:name="_GoBack"/>
      <w:r w:rsidRPr="00926312">
        <w:rPr>
          <w:rFonts w:ascii="微软雅黑" w:eastAsia="微软雅黑" w:hAnsi="微软雅黑" w:cs="宋体" w:hint="eastAsia"/>
          <w:color w:val="343434"/>
          <w:kern w:val="36"/>
          <w:sz w:val="35"/>
          <w:szCs w:val="35"/>
        </w:rPr>
        <w:t>习近平法治思想专题：李鸿忠：深入贯彻习近平法治思想 加快法治天津建设</w:t>
      </w:r>
    </w:p>
    <w:bookmarkEnd w:id="0"/>
    <w:p w:rsidR="00926312" w:rsidRPr="00926312" w:rsidRDefault="00926312" w:rsidP="00926312">
      <w:pPr>
        <w:widowControl/>
        <w:shd w:val="clear" w:color="auto" w:fill="FFFFFF"/>
        <w:spacing w:before="100" w:beforeAutospacing="1" w:after="100" w:afterAutospacing="1"/>
        <w:outlineLvl w:val="1"/>
        <w:rPr>
          <w:rFonts w:ascii="微软雅黑" w:eastAsia="微软雅黑" w:hAnsi="微软雅黑" w:cs="宋体" w:hint="eastAsia"/>
          <w:color w:val="878787"/>
          <w:kern w:val="0"/>
          <w:sz w:val="20"/>
          <w:szCs w:val="20"/>
        </w:rPr>
      </w:pPr>
    </w:p>
    <w:p w:rsidR="00926312" w:rsidRPr="00926312" w:rsidRDefault="00926312" w:rsidP="00926312">
      <w:pPr>
        <w:widowControl/>
        <w:shd w:val="clear" w:color="auto" w:fill="FFFFFF"/>
        <w:spacing w:before="75" w:after="150" w:line="855" w:lineRule="atLeast"/>
        <w:jc w:val="left"/>
        <w:rPr>
          <w:rFonts w:ascii="微软雅黑" w:eastAsia="微软雅黑" w:hAnsi="微软雅黑" w:cs="宋体" w:hint="eastAsia"/>
          <w:color w:val="343434"/>
          <w:kern w:val="0"/>
          <w:szCs w:val="21"/>
        </w:rPr>
      </w:pPr>
      <w:r w:rsidRPr="00926312">
        <w:rPr>
          <w:rFonts w:ascii="宋体" w:eastAsia="宋体" w:hAnsi="宋体" w:cs="宋体" w:hint="eastAsia"/>
          <w:b/>
          <w:bCs/>
          <w:color w:val="222222"/>
          <w:kern w:val="0"/>
          <w:sz w:val="44"/>
          <w:szCs w:val="44"/>
        </w:rPr>
        <w:t>李鸿忠：深入贯彻习近平法治思想</w:t>
      </w:r>
      <w:r w:rsidRPr="00926312">
        <w:rPr>
          <w:rFonts w:ascii="Times New Roman" w:eastAsia="微软雅黑" w:hAnsi="Times New Roman" w:cs="Times New Roman"/>
          <w:b/>
          <w:bCs/>
          <w:color w:val="222222"/>
          <w:kern w:val="0"/>
          <w:sz w:val="44"/>
          <w:szCs w:val="44"/>
        </w:rPr>
        <w:t> </w:t>
      </w:r>
      <w:r w:rsidRPr="00926312">
        <w:rPr>
          <w:rFonts w:ascii="宋体" w:eastAsia="宋体" w:hAnsi="宋体" w:cs="宋体" w:hint="eastAsia"/>
          <w:b/>
          <w:bCs/>
          <w:color w:val="222222"/>
          <w:kern w:val="0"/>
          <w:sz w:val="44"/>
          <w:szCs w:val="44"/>
        </w:rPr>
        <w:t>加快法治天津建设</w:t>
      </w:r>
    </w:p>
    <w:p w:rsidR="00926312" w:rsidRPr="00926312" w:rsidRDefault="00926312" w:rsidP="00926312">
      <w:pPr>
        <w:widowControl/>
        <w:shd w:val="clear" w:color="auto" w:fill="FFFFFF"/>
        <w:spacing w:line="660" w:lineRule="atLeast"/>
        <w:jc w:val="left"/>
        <w:rPr>
          <w:rFonts w:ascii="微软雅黑" w:eastAsia="微软雅黑" w:hAnsi="微软雅黑" w:cs="宋体" w:hint="eastAsia"/>
          <w:color w:val="343434"/>
          <w:kern w:val="0"/>
          <w:szCs w:val="21"/>
        </w:rPr>
      </w:pPr>
      <w:r w:rsidRPr="00926312">
        <w:rPr>
          <w:rFonts w:ascii="Times New Roman" w:eastAsia="微软雅黑" w:hAnsi="Times New Roman" w:cs="Times New Roman"/>
          <w:color w:val="666666"/>
          <w:kern w:val="0"/>
          <w:szCs w:val="21"/>
        </w:rPr>
        <w:t>2021</w:t>
      </w:r>
      <w:r w:rsidRPr="00926312">
        <w:rPr>
          <w:rFonts w:ascii="宋体" w:eastAsia="宋体" w:hAnsi="宋体" w:cs="宋体" w:hint="eastAsia"/>
          <w:color w:val="666666"/>
          <w:kern w:val="0"/>
          <w:szCs w:val="21"/>
        </w:rPr>
        <w:t>年</w:t>
      </w:r>
      <w:r w:rsidRPr="00926312">
        <w:rPr>
          <w:rFonts w:ascii="Times New Roman" w:eastAsia="微软雅黑" w:hAnsi="Times New Roman" w:cs="Times New Roman"/>
          <w:color w:val="666666"/>
          <w:kern w:val="0"/>
          <w:szCs w:val="21"/>
        </w:rPr>
        <w:t>04</w:t>
      </w:r>
      <w:r w:rsidRPr="00926312">
        <w:rPr>
          <w:rFonts w:ascii="宋体" w:eastAsia="宋体" w:hAnsi="宋体" w:cs="宋体" w:hint="eastAsia"/>
          <w:color w:val="666666"/>
          <w:kern w:val="0"/>
          <w:szCs w:val="21"/>
        </w:rPr>
        <w:t>月</w:t>
      </w:r>
      <w:r w:rsidRPr="00926312">
        <w:rPr>
          <w:rFonts w:ascii="Times New Roman" w:eastAsia="微软雅黑" w:hAnsi="Times New Roman" w:cs="Times New Roman"/>
          <w:color w:val="666666"/>
          <w:kern w:val="0"/>
          <w:szCs w:val="21"/>
        </w:rPr>
        <w:t>07</w:t>
      </w:r>
      <w:r w:rsidRPr="00926312">
        <w:rPr>
          <w:rFonts w:ascii="宋体" w:eastAsia="宋体" w:hAnsi="宋体" w:cs="宋体" w:hint="eastAsia"/>
          <w:color w:val="666666"/>
          <w:kern w:val="0"/>
          <w:szCs w:val="21"/>
        </w:rPr>
        <w:t>日</w:t>
      </w:r>
      <w:r w:rsidRPr="00926312">
        <w:rPr>
          <w:rFonts w:ascii="Times New Roman" w:eastAsia="微软雅黑" w:hAnsi="Times New Roman" w:cs="Times New Roman"/>
          <w:color w:val="666666"/>
          <w:kern w:val="0"/>
          <w:szCs w:val="21"/>
        </w:rPr>
        <w:t>09:09</w:t>
      </w:r>
      <w:r w:rsidRPr="00926312">
        <w:rPr>
          <w:rFonts w:ascii="Times New Roman" w:eastAsia="微软雅黑" w:hAnsi="Times New Roman" w:cs="Times New Roman"/>
          <w:color w:val="666666"/>
          <w:kern w:val="0"/>
          <w:szCs w:val="21"/>
        </w:rPr>
        <w:t> </w:t>
      </w:r>
      <w:r w:rsidRPr="00926312">
        <w:rPr>
          <w:rFonts w:ascii="Times New Roman" w:eastAsia="微软雅黑" w:hAnsi="Times New Roman" w:cs="Times New Roman"/>
          <w:color w:val="666666"/>
          <w:kern w:val="0"/>
          <w:szCs w:val="21"/>
        </w:rPr>
        <w:t> </w:t>
      </w:r>
      <w:r w:rsidRPr="00926312">
        <w:rPr>
          <w:rFonts w:ascii="宋体" w:eastAsia="宋体" w:hAnsi="宋体" w:cs="宋体" w:hint="eastAsia"/>
          <w:color w:val="666666"/>
          <w:kern w:val="0"/>
          <w:szCs w:val="21"/>
        </w:rPr>
        <w:t>来源：</w:t>
      </w:r>
      <w:hyperlink r:id="rId5" w:tgtFrame="_blank" w:history="1">
        <w:r w:rsidRPr="00926312">
          <w:rPr>
            <w:rFonts w:ascii="宋体" w:eastAsia="宋体" w:hAnsi="宋体" w:cs="宋体" w:hint="eastAsia"/>
            <w:color w:val="0000FF"/>
            <w:kern w:val="0"/>
            <w:szCs w:val="21"/>
          </w:rPr>
          <w:t>天津日报</w:t>
        </w:r>
      </w:hyperlink>
    </w:p>
    <w:p w:rsidR="00926312" w:rsidRPr="00926312" w:rsidRDefault="00926312" w:rsidP="00926312">
      <w:pPr>
        <w:widowControl/>
        <w:shd w:val="clear" w:color="auto" w:fill="FFFFFF"/>
        <w:spacing w:before="375" w:after="375" w:line="480" w:lineRule="atLeast"/>
        <w:jc w:val="left"/>
        <w:rPr>
          <w:rFonts w:ascii="微软雅黑" w:eastAsia="微软雅黑" w:hAnsi="微软雅黑" w:cs="宋体" w:hint="eastAsia"/>
          <w:color w:val="343434"/>
          <w:kern w:val="0"/>
          <w:szCs w:val="21"/>
        </w:rPr>
      </w:pPr>
      <w:r w:rsidRPr="00926312">
        <w:rPr>
          <w:rFonts w:ascii="微软雅黑" w:eastAsia="微软雅黑" w:hAnsi="微软雅黑" w:cs="宋体" w:hint="eastAsia"/>
          <w:color w:val="343434"/>
          <w:kern w:val="0"/>
          <w:szCs w:val="21"/>
        </w:rPr>
        <w:t xml:space="preserve">　　</w:t>
      </w:r>
      <w:r w:rsidRPr="00926312">
        <w:rPr>
          <w:rFonts w:ascii="Times New Roman" w:eastAsia="微软雅黑" w:hAnsi="Times New Roman" w:cs="Times New Roman"/>
          <w:color w:val="222222"/>
          <w:kern w:val="0"/>
          <w:sz w:val="27"/>
          <w:szCs w:val="27"/>
        </w:rPr>
        <w:t>4</w:t>
      </w:r>
      <w:r w:rsidRPr="00926312">
        <w:rPr>
          <w:rFonts w:ascii="宋体" w:eastAsia="宋体" w:hAnsi="宋体" w:cs="宋体" w:hint="eastAsia"/>
          <w:color w:val="222222"/>
          <w:kern w:val="0"/>
          <w:sz w:val="27"/>
          <w:szCs w:val="27"/>
        </w:rPr>
        <w:t>月</w:t>
      </w:r>
      <w:r w:rsidRPr="00926312">
        <w:rPr>
          <w:rFonts w:ascii="Times New Roman" w:eastAsia="微软雅黑" w:hAnsi="Times New Roman" w:cs="Times New Roman"/>
          <w:color w:val="222222"/>
          <w:kern w:val="0"/>
          <w:sz w:val="27"/>
          <w:szCs w:val="27"/>
        </w:rPr>
        <w:t>6</w:t>
      </w:r>
      <w:r w:rsidRPr="00926312">
        <w:rPr>
          <w:rFonts w:ascii="宋体" w:eastAsia="宋体" w:hAnsi="宋体" w:cs="宋体" w:hint="eastAsia"/>
          <w:color w:val="222222"/>
          <w:kern w:val="0"/>
          <w:sz w:val="27"/>
          <w:szCs w:val="27"/>
        </w:rPr>
        <w:t>日，天津市委常委会扩大会议暨市委全面依法治市委员会会议召开。市委书记、市委全面依法治市委员会主任李鸿忠主持会议并讲话。市委副书记、市长廖国勋，市人大常委会主任段春华出席。</w:t>
      </w:r>
    </w:p>
    <w:p w:rsidR="00926312" w:rsidRPr="00926312" w:rsidRDefault="00926312" w:rsidP="00926312">
      <w:pPr>
        <w:widowControl/>
        <w:shd w:val="clear" w:color="auto" w:fill="FFFFFF"/>
        <w:spacing w:before="375" w:after="375" w:line="480" w:lineRule="atLeast"/>
        <w:jc w:val="left"/>
        <w:rPr>
          <w:rFonts w:ascii="微软雅黑" w:eastAsia="微软雅黑" w:hAnsi="微软雅黑" w:cs="宋体" w:hint="eastAsia"/>
          <w:color w:val="343434"/>
          <w:kern w:val="0"/>
          <w:szCs w:val="21"/>
        </w:rPr>
      </w:pPr>
      <w:r w:rsidRPr="00926312">
        <w:rPr>
          <w:rFonts w:ascii="宋体" w:eastAsia="宋体" w:hAnsi="宋体" w:cs="宋体" w:hint="eastAsia"/>
          <w:color w:val="222222"/>
          <w:kern w:val="0"/>
          <w:sz w:val="27"/>
          <w:szCs w:val="27"/>
        </w:rPr>
        <w:t xml:space="preserve">　　会议深入学习贯彻习近平总书记在中央全面依法治国工作会议上的重要讲话精神，讨论落实任务分工方案、《法治天津建设规划（</w:t>
      </w:r>
      <w:r w:rsidRPr="00926312">
        <w:rPr>
          <w:rFonts w:ascii="Times New Roman" w:eastAsia="微软雅黑" w:hAnsi="Times New Roman" w:cs="Times New Roman"/>
          <w:color w:val="222222"/>
          <w:kern w:val="0"/>
          <w:sz w:val="27"/>
          <w:szCs w:val="27"/>
        </w:rPr>
        <w:t>2021—2025</w:t>
      </w:r>
      <w:r w:rsidRPr="00926312">
        <w:rPr>
          <w:rFonts w:ascii="宋体" w:eastAsia="宋体" w:hAnsi="宋体" w:cs="宋体" w:hint="eastAsia"/>
          <w:color w:val="222222"/>
          <w:kern w:val="0"/>
          <w:sz w:val="27"/>
          <w:szCs w:val="27"/>
        </w:rPr>
        <w:t>年）》《天津市法治社会建设实施纲要（</w:t>
      </w:r>
      <w:r w:rsidRPr="00926312">
        <w:rPr>
          <w:rFonts w:ascii="Times New Roman" w:eastAsia="微软雅黑" w:hAnsi="Times New Roman" w:cs="Times New Roman"/>
          <w:color w:val="222222"/>
          <w:kern w:val="0"/>
          <w:sz w:val="27"/>
          <w:szCs w:val="27"/>
        </w:rPr>
        <w:t>2021—2025</w:t>
      </w:r>
      <w:r w:rsidRPr="00926312">
        <w:rPr>
          <w:rFonts w:ascii="宋体" w:eastAsia="宋体" w:hAnsi="宋体" w:cs="宋体" w:hint="eastAsia"/>
          <w:color w:val="222222"/>
          <w:kern w:val="0"/>
          <w:sz w:val="27"/>
          <w:szCs w:val="27"/>
        </w:rPr>
        <w:t>年）》；听取关于</w:t>
      </w:r>
      <w:r w:rsidRPr="00926312">
        <w:rPr>
          <w:rFonts w:ascii="Times New Roman" w:eastAsia="微软雅黑" w:hAnsi="Times New Roman" w:cs="Times New Roman"/>
          <w:color w:val="222222"/>
          <w:kern w:val="0"/>
          <w:sz w:val="27"/>
          <w:szCs w:val="27"/>
        </w:rPr>
        <w:t>2020</w:t>
      </w:r>
      <w:r w:rsidRPr="00926312">
        <w:rPr>
          <w:rFonts w:ascii="宋体" w:eastAsia="宋体" w:hAnsi="宋体" w:cs="宋体" w:hint="eastAsia"/>
          <w:color w:val="222222"/>
          <w:kern w:val="0"/>
          <w:sz w:val="27"/>
          <w:szCs w:val="27"/>
        </w:rPr>
        <w:t>年度法治政府建设情况和</w:t>
      </w:r>
      <w:r w:rsidRPr="00926312">
        <w:rPr>
          <w:rFonts w:ascii="Times New Roman" w:eastAsia="微软雅黑" w:hAnsi="Times New Roman" w:cs="Times New Roman"/>
          <w:color w:val="222222"/>
          <w:kern w:val="0"/>
          <w:sz w:val="27"/>
          <w:szCs w:val="27"/>
        </w:rPr>
        <w:t>2021</w:t>
      </w:r>
      <w:r w:rsidRPr="00926312">
        <w:rPr>
          <w:rFonts w:ascii="宋体" w:eastAsia="宋体" w:hAnsi="宋体" w:cs="宋体" w:hint="eastAsia"/>
          <w:color w:val="222222"/>
          <w:kern w:val="0"/>
          <w:sz w:val="27"/>
          <w:szCs w:val="27"/>
        </w:rPr>
        <w:t>年度重点工作的汇报；讨论</w:t>
      </w:r>
      <w:r w:rsidRPr="00926312">
        <w:rPr>
          <w:rFonts w:ascii="Times New Roman" w:eastAsia="微软雅黑" w:hAnsi="Times New Roman" w:cs="Times New Roman"/>
          <w:color w:val="222222"/>
          <w:kern w:val="0"/>
          <w:sz w:val="27"/>
          <w:szCs w:val="27"/>
        </w:rPr>
        <w:t>2021</w:t>
      </w:r>
      <w:r w:rsidRPr="00926312">
        <w:rPr>
          <w:rFonts w:ascii="宋体" w:eastAsia="宋体" w:hAnsi="宋体" w:cs="宋体" w:hint="eastAsia"/>
          <w:color w:val="222222"/>
          <w:kern w:val="0"/>
          <w:sz w:val="27"/>
          <w:szCs w:val="27"/>
        </w:rPr>
        <w:t>年市委党内法规制定计划、天津市人民政府</w:t>
      </w:r>
      <w:r w:rsidRPr="00926312">
        <w:rPr>
          <w:rFonts w:ascii="Times New Roman" w:eastAsia="微软雅黑" w:hAnsi="Times New Roman" w:cs="Times New Roman"/>
          <w:color w:val="222222"/>
          <w:kern w:val="0"/>
          <w:sz w:val="27"/>
          <w:szCs w:val="27"/>
        </w:rPr>
        <w:t>2021</w:t>
      </w:r>
      <w:r w:rsidRPr="00926312">
        <w:rPr>
          <w:rFonts w:ascii="宋体" w:eastAsia="宋体" w:hAnsi="宋体" w:cs="宋体" w:hint="eastAsia"/>
          <w:color w:val="222222"/>
          <w:kern w:val="0"/>
          <w:sz w:val="27"/>
          <w:szCs w:val="27"/>
        </w:rPr>
        <w:t>年度立法计划；听取关于市委全面依法治市委员会</w:t>
      </w:r>
      <w:r w:rsidRPr="00926312">
        <w:rPr>
          <w:rFonts w:ascii="Times New Roman" w:eastAsia="微软雅黑" w:hAnsi="Times New Roman" w:cs="Times New Roman"/>
          <w:color w:val="222222"/>
          <w:kern w:val="0"/>
          <w:sz w:val="27"/>
          <w:szCs w:val="27"/>
        </w:rPr>
        <w:t>2020</w:t>
      </w:r>
      <w:r w:rsidRPr="00926312">
        <w:rPr>
          <w:rFonts w:ascii="宋体" w:eastAsia="宋体" w:hAnsi="宋体" w:cs="宋体" w:hint="eastAsia"/>
          <w:color w:val="222222"/>
          <w:kern w:val="0"/>
          <w:sz w:val="27"/>
          <w:szCs w:val="27"/>
        </w:rPr>
        <w:t>年工作情况的汇报，讨论</w:t>
      </w:r>
      <w:r w:rsidRPr="00926312">
        <w:rPr>
          <w:rFonts w:ascii="Times New Roman" w:eastAsia="微软雅黑" w:hAnsi="Times New Roman" w:cs="Times New Roman"/>
          <w:color w:val="222222"/>
          <w:kern w:val="0"/>
          <w:sz w:val="27"/>
          <w:szCs w:val="27"/>
        </w:rPr>
        <w:t>2021</w:t>
      </w:r>
      <w:r w:rsidRPr="00926312">
        <w:rPr>
          <w:rFonts w:ascii="宋体" w:eastAsia="宋体" w:hAnsi="宋体" w:cs="宋体" w:hint="eastAsia"/>
          <w:color w:val="222222"/>
          <w:kern w:val="0"/>
          <w:sz w:val="27"/>
          <w:szCs w:val="27"/>
        </w:rPr>
        <w:t>年工作要点。</w:t>
      </w:r>
    </w:p>
    <w:p w:rsidR="00926312" w:rsidRPr="00926312" w:rsidRDefault="00926312" w:rsidP="00926312">
      <w:pPr>
        <w:widowControl/>
        <w:shd w:val="clear" w:color="auto" w:fill="FFFFFF"/>
        <w:spacing w:before="375" w:after="375" w:line="480" w:lineRule="atLeast"/>
        <w:jc w:val="left"/>
        <w:rPr>
          <w:rFonts w:ascii="微软雅黑" w:eastAsia="微软雅黑" w:hAnsi="微软雅黑" w:cs="宋体" w:hint="eastAsia"/>
          <w:color w:val="343434"/>
          <w:kern w:val="0"/>
          <w:szCs w:val="21"/>
        </w:rPr>
      </w:pPr>
      <w:r w:rsidRPr="00926312">
        <w:rPr>
          <w:rFonts w:ascii="宋体" w:eastAsia="宋体" w:hAnsi="宋体" w:cs="宋体" w:hint="eastAsia"/>
          <w:color w:val="222222"/>
          <w:kern w:val="0"/>
          <w:sz w:val="27"/>
          <w:szCs w:val="27"/>
        </w:rPr>
        <w:t xml:space="preserve">　　会议指出，推进全面依法治市工作，首要是</w:t>
      </w:r>
      <w:proofErr w:type="gramStart"/>
      <w:r w:rsidRPr="00926312">
        <w:rPr>
          <w:rFonts w:ascii="宋体" w:eastAsia="宋体" w:hAnsi="宋体" w:cs="宋体" w:hint="eastAsia"/>
          <w:color w:val="222222"/>
          <w:kern w:val="0"/>
          <w:sz w:val="27"/>
          <w:szCs w:val="27"/>
        </w:rPr>
        <w:t>学深悟透习近</w:t>
      </w:r>
      <w:proofErr w:type="gramEnd"/>
      <w:r w:rsidRPr="00926312">
        <w:rPr>
          <w:rFonts w:ascii="宋体" w:eastAsia="宋体" w:hAnsi="宋体" w:cs="宋体" w:hint="eastAsia"/>
          <w:color w:val="222222"/>
          <w:kern w:val="0"/>
          <w:sz w:val="27"/>
          <w:szCs w:val="27"/>
        </w:rPr>
        <w:t>平法治思想，坚定不移走中国特色社会主义法治道路。要坚持以习近平法治思想</w:t>
      </w:r>
      <w:r w:rsidRPr="00926312">
        <w:rPr>
          <w:rFonts w:ascii="宋体" w:eastAsia="宋体" w:hAnsi="宋体" w:cs="宋体" w:hint="eastAsia"/>
          <w:color w:val="222222"/>
          <w:kern w:val="0"/>
          <w:sz w:val="27"/>
          <w:szCs w:val="27"/>
        </w:rPr>
        <w:lastRenderedPageBreak/>
        <w:t>为引领、遵循，增强</w:t>
      </w:r>
      <w:r w:rsidRPr="00926312">
        <w:rPr>
          <w:rFonts w:ascii="Times New Roman" w:eastAsia="微软雅黑" w:hAnsi="Times New Roman" w:cs="Times New Roman"/>
          <w:color w:val="222222"/>
          <w:kern w:val="0"/>
          <w:sz w:val="27"/>
          <w:szCs w:val="27"/>
        </w:rPr>
        <w:t>“</w:t>
      </w:r>
      <w:r w:rsidRPr="00926312">
        <w:rPr>
          <w:rFonts w:ascii="宋体" w:eastAsia="宋体" w:hAnsi="宋体" w:cs="宋体" w:hint="eastAsia"/>
          <w:color w:val="222222"/>
          <w:kern w:val="0"/>
          <w:sz w:val="27"/>
          <w:szCs w:val="27"/>
        </w:rPr>
        <w:t>四个意识</w:t>
      </w:r>
      <w:r w:rsidRPr="00926312">
        <w:rPr>
          <w:rFonts w:ascii="Times New Roman" w:eastAsia="微软雅黑" w:hAnsi="Times New Roman" w:cs="Times New Roman"/>
          <w:color w:val="222222"/>
          <w:kern w:val="0"/>
          <w:sz w:val="27"/>
          <w:szCs w:val="27"/>
        </w:rPr>
        <w:t>”</w:t>
      </w:r>
      <w:r w:rsidRPr="00926312">
        <w:rPr>
          <w:rFonts w:ascii="宋体" w:eastAsia="宋体" w:hAnsi="宋体" w:cs="宋体" w:hint="eastAsia"/>
          <w:color w:val="222222"/>
          <w:kern w:val="0"/>
          <w:sz w:val="27"/>
          <w:szCs w:val="27"/>
        </w:rPr>
        <w:t>、坚定</w:t>
      </w:r>
      <w:r w:rsidRPr="00926312">
        <w:rPr>
          <w:rFonts w:ascii="Times New Roman" w:eastAsia="微软雅黑" w:hAnsi="Times New Roman" w:cs="Times New Roman"/>
          <w:color w:val="222222"/>
          <w:kern w:val="0"/>
          <w:sz w:val="27"/>
          <w:szCs w:val="27"/>
        </w:rPr>
        <w:t>“</w:t>
      </w:r>
      <w:r w:rsidRPr="00926312">
        <w:rPr>
          <w:rFonts w:ascii="宋体" w:eastAsia="宋体" w:hAnsi="宋体" w:cs="宋体" w:hint="eastAsia"/>
          <w:color w:val="222222"/>
          <w:kern w:val="0"/>
          <w:sz w:val="27"/>
          <w:szCs w:val="27"/>
        </w:rPr>
        <w:t>四个自信</w:t>
      </w:r>
      <w:r w:rsidRPr="00926312">
        <w:rPr>
          <w:rFonts w:ascii="Times New Roman" w:eastAsia="微软雅黑" w:hAnsi="Times New Roman" w:cs="Times New Roman"/>
          <w:color w:val="222222"/>
          <w:kern w:val="0"/>
          <w:sz w:val="27"/>
          <w:szCs w:val="27"/>
        </w:rPr>
        <w:t>”</w:t>
      </w:r>
      <w:r w:rsidRPr="00926312">
        <w:rPr>
          <w:rFonts w:ascii="宋体" w:eastAsia="宋体" w:hAnsi="宋体" w:cs="宋体" w:hint="eastAsia"/>
          <w:color w:val="222222"/>
          <w:kern w:val="0"/>
          <w:sz w:val="27"/>
          <w:szCs w:val="27"/>
        </w:rPr>
        <w:t>、做到</w:t>
      </w:r>
      <w:r w:rsidRPr="00926312">
        <w:rPr>
          <w:rFonts w:ascii="Times New Roman" w:eastAsia="微软雅黑" w:hAnsi="Times New Roman" w:cs="Times New Roman"/>
          <w:color w:val="222222"/>
          <w:kern w:val="0"/>
          <w:sz w:val="27"/>
          <w:szCs w:val="27"/>
        </w:rPr>
        <w:t>“</w:t>
      </w:r>
      <w:r w:rsidRPr="00926312">
        <w:rPr>
          <w:rFonts w:ascii="宋体" w:eastAsia="宋体" w:hAnsi="宋体" w:cs="宋体" w:hint="eastAsia"/>
          <w:color w:val="222222"/>
          <w:kern w:val="0"/>
          <w:sz w:val="27"/>
          <w:szCs w:val="27"/>
        </w:rPr>
        <w:t>两个维护</w:t>
      </w:r>
      <w:r w:rsidRPr="00926312">
        <w:rPr>
          <w:rFonts w:ascii="Times New Roman" w:eastAsia="微软雅黑" w:hAnsi="Times New Roman" w:cs="Times New Roman"/>
          <w:color w:val="222222"/>
          <w:kern w:val="0"/>
          <w:sz w:val="27"/>
          <w:szCs w:val="27"/>
        </w:rPr>
        <w:t>”</w:t>
      </w:r>
      <w:r w:rsidRPr="00926312">
        <w:rPr>
          <w:rFonts w:ascii="宋体" w:eastAsia="宋体" w:hAnsi="宋体" w:cs="宋体" w:hint="eastAsia"/>
          <w:color w:val="222222"/>
          <w:kern w:val="0"/>
          <w:sz w:val="27"/>
          <w:szCs w:val="27"/>
        </w:rPr>
        <w:t>，切实提高政治判断力、政治领悟力、政治执行力，从法治思想、法治理论、法治体系上正本清源，坚持党的领导、人民当家作主、依法治国有机统一，把党的领导贯彻到依法治市全过程和各方面。</w:t>
      </w:r>
    </w:p>
    <w:p w:rsidR="00926312" w:rsidRPr="00926312" w:rsidRDefault="00926312" w:rsidP="00926312">
      <w:pPr>
        <w:widowControl/>
        <w:shd w:val="clear" w:color="auto" w:fill="FFFFFF"/>
        <w:spacing w:before="375" w:line="480" w:lineRule="atLeast"/>
        <w:jc w:val="left"/>
        <w:rPr>
          <w:rFonts w:ascii="微软雅黑" w:eastAsia="微软雅黑" w:hAnsi="微软雅黑" w:cs="宋体" w:hint="eastAsia"/>
          <w:color w:val="343434"/>
          <w:kern w:val="0"/>
          <w:szCs w:val="21"/>
        </w:rPr>
      </w:pPr>
      <w:r w:rsidRPr="00926312">
        <w:rPr>
          <w:rFonts w:ascii="宋体" w:eastAsia="宋体" w:hAnsi="宋体" w:cs="宋体" w:hint="eastAsia"/>
          <w:color w:val="222222"/>
          <w:kern w:val="0"/>
          <w:sz w:val="27"/>
          <w:szCs w:val="27"/>
        </w:rPr>
        <w:t xml:space="preserve">　　会议强调，要全力聚焦法治建设先行区目标，切实抓好天津市法治规划落地实施，全面推进科学立法、严格执法、公正司法、全民守法，加快建设法治天津。一是加强地方立法工作。紧紧围绕党中央决策部署和市委中心工作，立足新发展阶段、贯彻新发展理念、构建新发展格局，着力在推进全市高质量发展、绿色发展、社会治理等方面，提高立法质效。二是狠抓严格规范公正文明执法。以接受中央督导为东风，深入开展政法队伍教育整顿，教育引导法治工作者忠于党、忠于国家、忠于人民、忠于法律。坚持执法为民、公正司法，重拳打击违法行为，做到有法必依、执法必严，努力让人民群众在每一个执法案件中感受到公平正义。三是坚持依法行政。加快推进法治政府建设，切实转变政府职能，着力构建法治化营商环境，进一步增强依法履职、依法决策、依法办事能力，提高运用法治思维理念和方式解决问题的水平。四是尊法学法守法用法。各级领导干部要发挥</w:t>
      </w:r>
      <w:r w:rsidRPr="00926312">
        <w:rPr>
          <w:rFonts w:ascii="Times New Roman" w:eastAsia="微软雅黑" w:hAnsi="Times New Roman" w:cs="Times New Roman"/>
          <w:color w:val="222222"/>
          <w:kern w:val="0"/>
          <w:sz w:val="27"/>
          <w:szCs w:val="27"/>
        </w:rPr>
        <w:t>“</w:t>
      </w:r>
      <w:r w:rsidRPr="00926312">
        <w:rPr>
          <w:rFonts w:ascii="宋体" w:eastAsia="宋体" w:hAnsi="宋体" w:cs="宋体" w:hint="eastAsia"/>
          <w:color w:val="222222"/>
          <w:kern w:val="0"/>
          <w:sz w:val="27"/>
          <w:szCs w:val="27"/>
        </w:rPr>
        <w:t>关键少数</w:t>
      </w:r>
      <w:r w:rsidRPr="00926312">
        <w:rPr>
          <w:rFonts w:ascii="Times New Roman" w:eastAsia="微软雅黑" w:hAnsi="Times New Roman" w:cs="Times New Roman"/>
          <w:color w:val="222222"/>
          <w:kern w:val="0"/>
          <w:sz w:val="27"/>
          <w:szCs w:val="27"/>
        </w:rPr>
        <w:t>”</w:t>
      </w:r>
      <w:r w:rsidRPr="00926312">
        <w:rPr>
          <w:rFonts w:ascii="宋体" w:eastAsia="宋体" w:hAnsi="宋体" w:cs="宋体" w:hint="eastAsia"/>
          <w:color w:val="222222"/>
          <w:kern w:val="0"/>
          <w:sz w:val="27"/>
          <w:szCs w:val="27"/>
        </w:rPr>
        <w:t>作用，坚决摒弃特权思想，带头做法治信仰的崇尚者、法治精神的弘扬者、法治权威的捍卫者、法治实施的推动者。五是弘扬法治文化。加大普法力度，特别是加强青少年法治教育，提升全民法治意识和法治素养，强化守法光荣、违法可耻的社会氛围，加快推进法治社会建设。（记者</w:t>
      </w:r>
      <w:r w:rsidRPr="00926312">
        <w:rPr>
          <w:rFonts w:ascii="微软雅黑" w:eastAsia="微软雅黑" w:hAnsi="微软雅黑" w:cs="宋体" w:hint="eastAsia"/>
          <w:color w:val="343434"/>
          <w:kern w:val="0"/>
          <w:szCs w:val="21"/>
        </w:rPr>
        <w:t> </w:t>
      </w:r>
      <w:r w:rsidRPr="00926312">
        <w:rPr>
          <w:rFonts w:ascii="宋体" w:eastAsia="宋体" w:hAnsi="宋体" w:cs="宋体" w:hint="eastAsia"/>
          <w:color w:val="222222"/>
          <w:kern w:val="0"/>
          <w:sz w:val="27"/>
          <w:szCs w:val="27"/>
        </w:rPr>
        <w:t>魏</w:t>
      </w:r>
      <w:proofErr w:type="gramStart"/>
      <w:r w:rsidRPr="00926312">
        <w:rPr>
          <w:rFonts w:ascii="宋体" w:eastAsia="宋体" w:hAnsi="宋体" w:cs="宋体" w:hint="eastAsia"/>
          <w:color w:val="222222"/>
          <w:kern w:val="0"/>
          <w:sz w:val="27"/>
          <w:szCs w:val="27"/>
        </w:rPr>
        <w:t>彧</w:t>
      </w:r>
      <w:proofErr w:type="gramEnd"/>
      <w:r w:rsidRPr="00926312">
        <w:rPr>
          <w:rFonts w:ascii="微软雅黑" w:eastAsia="微软雅黑" w:hAnsi="微软雅黑" w:cs="宋体" w:hint="eastAsia"/>
          <w:color w:val="343434"/>
          <w:kern w:val="0"/>
          <w:szCs w:val="21"/>
        </w:rPr>
        <w:t> </w:t>
      </w:r>
      <w:r w:rsidRPr="00926312">
        <w:rPr>
          <w:rFonts w:ascii="宋体" w:eastAsia="宋体" w:hAnsi="宋体" w:cs="宋体" w:hint="eastAsia"/>
          <w:color w:val="222222"/>
          <w:kern w:val="0"/>
          <w:sz w:val="27"/>
          <w:szCs w:val="27"/>
        </w:rPr>
        <w:t>于春</w:t>
      </w:r>
      <w:proofErr w:type="gramStart"/>
      <w:r w:rsidRPr="00926312">
        <w:rPr>
          <w:rFonts w:ascii="宋体" w:eastAsia="宋体" w:hAnsi="宋体" w:cs="宋体" w:hint="eastAsia"/>
          <w:color w:val="222222"/>
          <w:kern w:val="0"/>
          <w:sz w:val="27"/>
          <w:szCs w:val="27"/>
        </w:rPr>
        <w:t>沣</w:t>
      </w:r>
      <w:proofErr w:type="gramEnd"/>
      <w:r w:rsidRPr="00926312">
        <w:rPr>
          <w:rFonts w:ascii="宋体" w:eastAsia="宋体" w:hAnsi="宋体" w:cs="宋体" w:hint="eastAsia"/>
          <w:color w:val="222222"/>
          <w:kern w:val="0"/>
          <w:sz w:val="27"/>
          <w:szCs w:val="27"/>
        </w:rPr>
        <w:t>）</w:t>
      </w:r>
    </w:p>
    <w:p w:rsidR="004F1055" w:rsidRDefault="004F1055">
      <w:pPr>
        <w:rPr>
          <w:rFonts w:hint="eastAsia"/>
        </w:rPr>
      </w:pPr>
    </w:p>
    <w:sectPr w:rsidR="004F10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312"/>
    <w:rsid w:val="004F1055"/>
    <w:rsid w:val="00926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103228">
      <w:bodyDiv w:val="1"/>
      <w:marLeft w:val="0"/>
      <w:marRight w:val="0"/>
      <w:marTop w:val="0"/>
      <w:marBottom w:val="0"/>
      <w:divBdr>
        <w:top w:val="none" w:sz="0" w:space="0" w:color="auto"/>
        <w:left w:val="none" w:sz="0" w:space="0" w:color="auto"/>
        <w:bottom w:val="none" w:sz="0" w:space="0" w:color="auto"/>
        <w:right w:val="none" w:sz="0" w:space="0" w:color="auto"/>
      </w:divBdr>
      <w:divsChild>
        <w:div w:id="845633421">
          <w:marLeft w:val="0"/>
          <w:marRight w:val="0"/>
          <w:marTop w:val="0"/>
          <w:marBottom w:val="300"/>
          <w:divBdr>
            <w:top w:val="none" w:sz="0" w:space="0" w:color="auto"/>
            <w:left w:val="none" w:sz="0" w:space="0" w:color="auto"/>
            <w:bottom w:val="single" w:sz="6" w:space="8" w:color="D0D0D0"/>
            <w:right w:val="none" w:sz="0" w:space="0" w:color="auto"/>
          </w:divBdr>
        </w:div>
        <w:div w:id="1931893239">
          <w:marLeft w:val="0"/>
          <w:marRight w:val="0"/>
          <w:marTop w:val="0"/>
          <w:marBottom w:val="0"/>
          <w:divBdr>
            <w:top w:val="none" w:sz="0" w:space="0" w:color="auto"/>
            <w:left w:val="none" w:sz="0" w:space="0" w:color="auto"/>
            <w:bottom w:val="none" w:sz="0" w:space="0" w:color="auto"/>
            <w:right w:val="none" w:sz="0" w:space="0" w:color="auto"/>
          </w:divBdr>
          <w:divsChild>
            <w:div w:id="13899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paper.tianjinwe.com/tjrb/html/2021-04/07/content_151_4280008.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2021-09-08T01:04:00Z</dcterms:created>
  <dcterms:modified xsi:type="dcterms:W3CDTF">2021-09-08T01:05:00Z</dcterms:modified>
</cp:coreProperties>
</file>