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EE" w:rsidRDefault="002A01EE" w:rsidP="002A01EE">
      <w:pPr>
        <w:rPr>
          <w:rFonts w:eastAsia="仿宋_GB2312"/>
          <w:sz w:val="32"/>
          <w:szCs w:val="32"/>
        </w:rPr>
      </w:pPr>
    </w:p>
    <w:p w:rsidR="002A01EE" w:rsidRDefault="002A01EE" w:rsidP="002A01EE">
      <w:pPr>
        <w:jc w:val="center"/>
        <w:rPr>
          <w:b/>
          <w:bCs/>
          <w:sz w:val="32"/>
          <w:szCs w:val="32"/>
        </w:rPr>
      </w:pPr>
      <w:bookmarkStart w:id="0" w:name="_GoBack"/>
      <w:r>
        <w:rPr>
          <w:b/>
          <w:bCs/>
          <w:sz w:val="32"/>
          <w:szCs w:val="32"/>
        </w:rPr>
        <w:t>2021</w:t>
      </w:r>
      <w:r>
        <w:rPr>
          <w:b/>
          <w:bCs/>
          <w:sz w:val="32"/>
          <w:szCs w:val="32"/>
        </w:rPr>
        <w:t>年度对外投资并购项目补充信息表</w:t>
      </w:r>
    </w:p>
    <w:bookmarkEnd w:id="0"/>
    <w:p w:rsidR="002A01EE" w:rsidRDefault="002A01EE" w:rsidP="002A01EE">
      <w:pPr>
        <w:widowControl/>
        <w:jc w:val="left"/>
        <w:textAlignment w:val="center"/>
        <w:rPr>
          <w:color w:val="000000"/>
          <w:kern w:val="0"/>
          <w:sz w:val="22"/>
          <w:szCs w:val="22"/>
          <w:lang w:bidi="ar"/>
        </w:rPr>
      </w:pPr>
      <w:r>
        <w:rPr>
          <w:color w:val="000000"/>
          <w:kern w:val="0"/>
          <w:sz w:val="22"/>
          <w:szCs w:val="22"/>
          <w:lang w:bidi="ar"/>
        </w:rPr>
        <w:t>企业（单位）名称：</w:t>
      </w:r>
    </w:p>
    <w:p w:rsidR="002A01EE" w:rsidRDefault="002A01EE" w:rsidP="002A01EE">
      <w:pPr>
        <w:widowControl/>
        <w:jc w:val="left"/>
        <w:textAlignment w:val="center"/>
        <w:rPr>
          <w:color w:val="000000"/>
          <w:kern w:val="0"/>
          <w:sz w:val="22"/>
          <w:szCs w:val="22"/>
          <w:lang w:bidi="ar"/>
        </w:rPr>
      </w:pPr>
      <w:r>
        <w:rPr>
          <w:color w:val="000000"/>
          <w:kern w:val="0"/>
          <w:sz w:val="22"/>
          <w:szCs w:val="22"/>
          <w:lang w:bidi="ar"/>
        </w:rPr>
        <w:t>统一社会信用代码：</w:t>
      </w:r>
      <w:r>
        <w:rPr>
          <w:color w:val="000000"/>
          <w:kern w:val="0"/>
          <w:sz w:val="22"/>
          <w:szCs w:val="22"/>
          <w:lang w:bidi="ar"/>
        </w:rPr>
        <w:t xml:space="preserve">                                                                                      </w:t>
      </w:r>
      <w:r>
        <w:rPr>
          <w:color w:val="000000"/>
          <w:kern w:val="0"/>
          <w:sz w:val="22"/>
          <w:szCs w:val="22"/>
          <w:lang w:bidi="ar"/>
        </w:rPr>
        <w:t>计量单位：万美元</w:t>
      </w:r>
    </w:p>
    <w:tbl>
      <w:tblPr>
        <w:tblW w:w="14633" w:type="dxa"/>
        <w:jc w:val="center"/>
        <w:tblLayout w:type="fixed"/>
        <w:tblCellMar>
          <w:left w:w="0" w:type="dxa"/>
          <w:right w:w="0" w:type="dxa"/>
        </w:tblCellMar>
        <w:tblLook w:val="04A0" w:firstRow="1" w:lastRow="0" w:firstColumn="1" w:lastColumn="0" w:noHBand="0" w:noVBand="1"/>
      </w:tblPr>
      <w:tblGrid>
        <w:gridCol w:w="2695"/>
        <w:gridCol w:w="1345"/>
        <w:gridCol w:w="1235"/>
        <w:gridCol w:w="1240"/>
        <w:gridCol w:w="1338"/>
        <w:gridCol w:w="1230"/>
        <w:gridCol w:w="1030"/>
        <w:gridCol w:w="1110"/>
        <w:gridCol w:w="1400"/>
        <w:gridCol w:w="1130"/>
        <w:gridCol w:w="880"/>
      </w:tblGrid>
      <w:tr w:rsidR="002A01EE" w:rsidTr="00EA36FD">
        <w:trPr>
          <w:trHeight w:val="280"/>
          <w:jc w:val="center"/>
        </w:trPr>
        <w:tc>
          <w:tcPr>
            <w:tcW w:w="2695" w:type="dxa"/>
            <w:vMerge w:val="restart"/>
            <w:tcBorders>
              <w:top w:val="single" w:sz="4" w:space="0" w:color="000000"/>
              <w:left w:val="nil"/>
              <w:bottom w:val="single" w:sz="4" w:space="0" w:color="000000"/>
              <w:right w:val="nil"/>
            </w:tcBorders>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被并购企业名称</w:t>
            </w:r>
          </w:p>
        </w:tc>
        <w:tc>
          <w:tcPr>
            <w:tcW w:w="134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被并购企业（项目）所在国家（地区）</w:t>
            </w:r>
          </w:p>
        </w:tc>
        <w:tc>
          <w:tcPr>
            <w:tcW w:w="123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被并购企业（项目）所属的行业</w:t>
            </w:r>
          </w:p>
        </w:tc>
        <w:tc>
          <w:tcPr>
            <w:tcW w:w="124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实施并购的路径</w:t>
            </w:r>
          </w:p>
        </w:tc>
        <w:tc>
          <w:tcPr>
            <w:tcW w:w="1338"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实施并购的企业名称</w:t>
            </w:r>
          </w:p>
        </w:tc>
        <w:tc>
          <w:tcPr>
            <w:tcW w:w="226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并购后中方所占股权</w:t>
            </w:r>
          </w:p>
        </w:tc>
        <w:tc>
          <w:tcPr>
            <w:tcW w:w="4520" w:type="dxa"/>
            <w:gridSpan w:val="4"/>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实施交易金额</w:t>
            </w:r>
          </w:p>
        </w:tc>
      </w:tr>
      <w:tr w:rsidR="002A01EE" w:rsidTr="00EA36FD">
        <w:trPr>
          <w:trHeight w:val="280"/>
          <w:jc w:val="center"/>
        </w:trPr>
        <w:tc>
          <w:tcPr>
            <w:tcW w:w="2695" w:type="dxa"/>
            <w:vMerge/>
            <w:tcBorders>
              <w:top w:val="single" w:sz="4" w:space="0" w:color="000000"/>
              <w:left w:val="nil"/>
              <w:bottom w:val="single" w:sz="4" w:space="0" w:color="000000"/>
              <w:right w:val="nil"/>
            </w:tcBorders>
            <w:tcMar>
              <w:top w:w="10" w:type="dxa"/>
              <w:left w:w="10" w:type="dxa"/>
              <w:right w:w="10" w:type="dxa"/>
            </w:tcMar>
            <w:vAlign w:val="center"/>
          </w:tcPr>
          <w:p w:rsidR="002A01EE" w:rsidRDefault="002A01EE" w:rsidP="00EA36FD">
            <w:pPr>
              <w:jc w:val="center"/>
              <w:rPr>
                <w:color w:val="000000"/>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3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4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338"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30"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比重（</w:t>
            </w:r>
            <w:r>
              <w:rPr>
                <w:color w:val="000000"/>
                <w:kern w:val="0"/>
                <w:sz w:val="22"/>
                <w:szCs w:val="22"/>
                <w:lang w:bidi="ar"/>
              </w:rPr>
              <w:t>%</w:t>
            </w:r>
            <w:r>
              <w:rPr>
                <w:color w:val="000000"/>
                <w:kern w:val="0"/>
                <w:sz w:val="22"/>
                <w:szCs w:val="22"/>
                <w:lang w:bidi="ar"/>
              </w:rPr>
              <w:t>）</w:t>
            </w:r>
          </w:p>
        </w:tc>
        <w:tc>
          <w:tcPr>
            <w:tcW w:w="1030"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金额</w:t>
            </w:r>
          </w:p>
        </w:tc>
        <w:tc>
          <w:tcPr>
            <w:tcW w:w="4520" w:type="dxa"/>
            <w:gridSpan w:val="4"/>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其中</w:t>
            </w:r>
          </w:p>
        </w:tc>
      </w:tr>
      <w:tr w:rsidR="002A01EE" w:rsidTr="00EA36FD">
        <w:trPr>
          <w:trHeight w:val="280"/>
          <w:jc w:val="center"/>
        </w:trPr>
        <w:tc>
          <w:tcPr>
            <w:tcW w:w="2695" w:type="dxa"/>
            <w:vMerge/>
            <w:tcBorders>
              <w:top w:val="single" w:sz="4" w:space="0" w:color="000000"/>
              <w:left w:val="nil"/>
              <w:bottom w:val="single" w:sz="4" w:space="0" w:color="000000"/>
              <w:right w:val="nil"/>
            </w:tcBorders>
            <w:tcMar>
              <w:top w:w="10" w:type="dxa"/>
              <w:left w:w="10" w:type="dxa"/>
              <w:right w:w="10" w:type="dxa"/>
            </w:tcMar>
            <w:vAlign w:val="center"/>
          </w:tcPr>
          <w:p w:rsidR="002A01EE" w:rsidRDefault="002A01EE" w:rsidP="00EA36FD">
            <w:pPr>
              <w:jc w:val="center"/>
              <w:rPr>
                <w:color w:val="000000"/>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3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4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338"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A01EE" w:rsidRDefault="002A01EE" w:rsidP="00EA36FD">
            <w:pPr>
              <w:jc w:val="center"/>
              <w:rPr>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jc w:val="center"/>
              <w:rPr>
                <w:color w:val="000000"/>
                <w:sz w:val="22"/>
                <w:szCs w:val="22"/>
              </w:rPr>
            </w:pPr>
          </w:p>
        </w:tc>
        <w:tc>
          <w:tcPr>
            <w:tcW w:w="1030"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jc w:val="center"/>
              <w:rPr>
                <w:color w:val="000000"/>
                <w:sz w:val="22"/>
                <w:szCs w:val="22"/>
              </w:rPr>
            </w:pPr>
          </w:p>
        </w:tc>
        <w:tc>
          <w:tcPr>
            <w:tcW w:w="1110" w:type="dxa"/>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自有资金</w:t>
            </w:r>
          </w:p>
        </w:tc>
        <w:tc>
          <w:tcPr>
            <w:tcW w:w="1400" w:type="dxa"/>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境内银行贷款</w:t>
            </w:r>
          </w:p>
        </w:tc>
        <w:tc>
          <w:tcPr>
            <w:tcW w:w="1130" w:type="dxa"/>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境外融资</w:t>
            </w:r>
          </w:p>
        </w:tc>
        <w:tc>
          <w:tcPr>
            <w:tcW w:w="88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其他</w:t>
            </w:r>
          </w:p>
        </w:tc>
      </w:tr>
      <w:tr w:rsidR="002A01EE" w:rsidTr="00EA36FD">
        <w:trPr>
          <w:trHeight w:val="280"/>
          <w:jc w:val="center"/>
        </w:trPr>
        <w:tc>
          <w:tcPr>
            <w:tcW w:w="2695" w:type="dxa"/>
            <w:tcBorders>
              <w:top w:val="nil"/>
              <w:left w:val="nil"/>
              <w:bottom w:val="single" w:sz="4" w:space="0" w:color="000000"/>
              <w:right w:val="nil"/>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甲</w:t>
            </w:r>
          </w:p>
        </w:tc>
        <w:tc>
          <w:tcPr>
            <w:tcW w:w="13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乙</w:t>
            </w:r>
          </w:p>
        </w:tc>
        <w:tc>
          <w:tcPr>
            <w:tcW w:w="123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丙</w:t>
            </w:r>
          </w:p>
        </w:tc>
        <w:tc>
          <w:tcPr>
            <w:tcW w:w="12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丁</w:t>
            </w:r>
          </w:p>
        </w:tc>
        <w:tc>
          <w:tcPr>
            <w:tcW w:w="133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戊</w:t>
            </w:r>
          </w:p>
        </w:tc>
        <w:tc>
          <w:tcPr>
            <w:tcW w:w="12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1</w:t>
            </w:r>
          </w:p>
        </w:tc>
        <w:tc>
          <w:tcPr>
            <w:tcW w:w="10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2</w:t>
            </w:r>
          </w:p>
        </w:tc>
        <w:tc>
          <w:tcPr>
            <w:tcW w:w="11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3</w:t>
            </w:r>
          </w:p>
        </w:tc>
        <w:tc>
          <w:tcPr>
            <w:tcW w:w="14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4</w:t>
            </w:r>
          </w:p>
        </w:tc>
        <w:tc>
          <w:tcPr>
            <w:tcW w:w="11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5</w:t>
            </w:r>
          </w:p>
        </w:tc>
        <w:tc>
          <w:tcPr>
            <w:tcW w:w="88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widowControl/>
              <w:jc w:val="center"/>
              <w:textAlignment w:val="center"/>
              <w:rPr>
                <w:color w:val="000000"/>
                <w:sz w:val="22"/>
                <w:szCs w:val="22"/>
              </w:rPr>
            </w:pPr>
            <w:r>
              <w:rPr>
                <w:color w:val="000000"/>
                <w:kern w:val="0"/>
                <w:sz w:val="22"/>
                <w:szCs w:val="22"/>
                <w:lang w:bidi="ar"/>
              </w:rPr>
              <w:t>6</w:t>
            </w:r>
          </w:p>
        </w:tc>
      </w:tr>
      <w:tr w:rsidR="002A01EE" w:rsidTr="00EA36FD">
        <w:trPr>
          <w:trHeight w:val="820"/>
          <w:jc w:val="center"/>
        </w:trPr>
        <w:tc>
          <w:tcPr>
            <w:tcW w:w="2695" w:type="dxa"/>
            <w:tcBorders>
              <w:top w:val="single" w:sz="4" w:space="0" w:color="000000"/>
              <w:left w:val="nil"/>
              <w:bottom w:val="single" w:sz="4" w:space="0" w:color="000000"/>
              <w:right w:val="single" w:sz="4" w:space="0" w:color="000000"/>
            </w:tcBorders>
            <w:noWrap/>
            <w:tcMar>
              <w:top w:w="10" w:type="dxa"/>
              <w:left w:w="10" w:type="dxa"/>
              <w:right w:w="10" w:type="dxa"/>
            </w:tcMar>
            <w:vAlign w:val="center"/>
          </w:tcPr>
          <w:p w:rsidR="002A01EE" w:rsidRDefault="002A01EE" w:rsidP="00EA36FD">
            <w:pPr>
              <w:rPr>
                <w:color w:val="000000"/>
                <w:sz w:val="22"/>
                <w:szCs w:val="22"/>
              </w:rPr>
            </w:pPr>
          </w:p>
        </w:tc>
        <w:tc>
          <w:tcPr>
            <w:tcW w:w="1345"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235"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24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338"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23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03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11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40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113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c>
          <w:tcPr>
            <w:tcW w:w="880" w:type="dxa"/>
            <w:tcBorders>
              <w:top w:val="single" w:sz="4" w:space="0" w:color="000000"/>
              <w:left w:val="nil"/>
              <w:bottom w:val="single" w:sz="4" w:space="0" w:color="000000"/>
              <w:right w:val="nil"/>
            </w:tcBorders>
            <w:noWrap/>
            <w:tcMar>
              <w:top w:w="10" w:type="dxa"/>
              <w:left w:w="10" w:type="dxa"/>
              <w:right w:w="10" w:type="dxa"/>
            </w:tcMar>
            <w:vAlign w:val="center"/>
          </w:tcPr>
          <w:p w:rsidR="002A01EE" w:rsidRDefault="002A01EE" w:rsidP="00EA36FD">
            <w:pPr>
              <w:rPr>
                <w:color w:val="000000"/>
                <w:sz w:val="22"/>
                <w:szCs w:val="22"/>
              </w:rPr>
            </w:pPr>
          </w:p>
        </w:tc>
      </w:tr>
    </w:tbl>
    <w:p w:rsidR="002A01EE" w:rsidRDefault="002A01EE" w:rsidP="002A01EE">
      <w:pPr>
        <w:spacing w:line="240" w:lineRule="exact"/>
        <w:rPr>
          <w:szCs w:val="21"/>
        </w:rPr>
      </w:pPr>
      <w:r>
        <w:rPr>
          <w:szCs w:val="21"/>
        </w:rPr>
        <w:t>说明：</w:t>
      </w:r>
    </w:p>
    <w:p w:rsidR="002A01EE" w:rsidRDefault="002A01EE" w:rsidP="002A01EE">
      <w:pPr>
        <w:numPr>
          <w:ilvl w:val="0"/>
          <w:numId w:val="1"/>
        </w:numPr>
        <w:spacing w:line="240" w:lineRule="exact"/>
        <w:rPr>
          <w:szCs w:val="21"/>
        </w:rPr>
      </w:pPr>
      <w:r>
        <w:rPr>
          <w:szCs w:val="21"/>
        </w:rPr>
        <w:t>本表综合反映报告期内境内投资者或其境外企业实施对外投资并购事项的实际情况。涉及境内投资者之间的境外股权转让不属于</w:t>
      </w:r>
      <w:proofErr w:type="gramStart"/>
      <w:r>
        <w:rPr>
          <w:szCs w:val="21"/>
        </w:rPr>
        <w:t>本统计</w:t>
      </w:r>
      <w:proofErr w:type="gramEnd"/>
      <w:r>
        <w:rPr>
          <w:szCs w:val="21"/>
        </w:rPr>
        <w:t>范畴。</w:t>
      </w:r>
    </w:p>
    <w:p w:rsidR="002A01EE" w:rsidRDefault="002A01EE" w:rsidP="002A01EE">
      <w:pPr>
        <w:numPr>
          <w:ilvl w:val="0"/>
          <w:numId w:val="1"/>
        </w:numPr>
        <w:spacing w:line="240" w:lineRule="exact"/>
        <w:rPr>
          <w:szCs w:val="21"/>
        </w:rPr>
      </w:pPr>
      <w:r>
        <w:rPr>
          <w:szCs w:val="21"/>
        </w:rPr>
        <w:t>被并购企业（项目）所属的行业：按被并购企业主营业务或被并购资产或权益的性质分类。</w:t>
      </w:r>
    </w:p>
    <w:p w:rsidR="002A01EE" w:rsidRDefault="002A01EE" w:rsidP="002A01EE">
      <w:pPr>
        <w:numPr>
          <w:ilvl w:val="0"/>
          <w:numId w:val="1"/>
        </w:numPr>
        <w:spacing w:line="240" w:lineRule="exact"/>
        <w:rPr>
          <w:szCs w:val="21"/>
        </w:rPr>
      </w:pPr>
      <w:r>
        <w:rPr>
          <w:szCs w:val="21"/>
        </w:rPr>
        <w:t>实现并购的路径：指境内投资者直接与卖方签署并购协议或通过其境外企业签署协议实施并购。</w:t>
      </w:r>
    </w:p>
    <w:p w:rsidR="002A01EE" w:rsidRDefault="002A01EE" w:rsidP="002A01EE">
      <w:pPr>
        <w:numPr>
          <w:ilvl w:val="0"/>
          <w:numId w:val="1"/>
        </w:numPr>
        <w:spacing w:line="240" w:lineRule="exact"/>
        <w:rPr>
          <w:szCs w:val="21"/>
        </w:rPr>
      </w:pPr>
      <w:r>
        <w:rPr>
          <w:szCs w:val="21"/>
        </w:rPr>
        <w:t>实施并购的企业名称：指实际签订并购协议的境内投资者或其境外企业名称。</w:t>
      </w:r>
    </w:p>
    <w:p w:rsidR="002A01EE" w:rsidRDefault="002A01EE" w:rsidP="002A01EE">
      <w:pPr>
        <w:numPr>
          <w:ilvl w:val="0"/>
          <w:numId w:val="1"/>
        </w:numPr>
        <w:spacing w:line="240" w:lineRule="exact"/>
        <w:rPr>
          <w:szCs w:val="21"/>
        </w:rPr>
      </w:pPr>
      <w:r>
        <w:rPr>
          <w:szCs w:val="21"/>
        </w:rPr>
        <w:t>自有资金：是指境内投资者（或境外企业）为进行生产经营活动所经常持有，可以自行支配使用并无须偿还的那部分资金。</w:t>
      </w:r>
    </w:p>
    <w:p w:rsidR="002A01EE" w:rsidRPr="00EA36FD" w:rsidRDefault="002A01EE" w:rsidP="002A01EE">
      <w:pPr>
        <w:numPr>
          <w:ilvl w:val="0"/>
          <w:numId w:val="1"/>
        </w:numPr>
        <w:spacing w:line="240" w:lineRule="exact"/>
        <w:rPr>
          <w:szCs w:val="21"/>
        </w:rPr>
      </w:pPr>
      <w:r>
        <w:rPr>
          <w:szCs w:val="21"/>
        </w:rPr>
        <w:t>境内银行贷款：是境内投资者（或境外企业）为实施境外并购项目按一定利率从我国境内银行性金融机构（包括政策性银行、商业银行、城市商业银行、城市信用合作社、外资银行等）取得的贷款。</w:t>
      </w:r>
    </w:p>
    <w:p w:rsidR="002A01EE" w:rsidRPr="00EA36FD" w:rsidRDefault="002A01EE" w:rsidP="002A01EE">
      <w:pPr>
        <w:numPr>
          <w:ilvl w:val="0"/>
          <w:numId w:val="1"/>
        </w:numPr>
        <w:spacing w:line="240" w:lineRule="exact"/>
        <w:rPr>
          <w:szCs w:val="21"/>
        </w:rPr>
      </w:pPr>
      <w:r>
        <w:rPr>
          <w:szCs w:val="21"/>
        </w:rPr>
        <w:t>境外融资：主要包括两部分内容（</w:t>
      </w:r>
      <w:r>
        <w:rPr>
          <w:szCs w:val="21"/>
        </w:rPr>
        <w:t>1</w:t>
      </w:r>
      <w:r>
        <w:rPr>
          <w:szCs w:val="21"/>
        </w:rPr>
        <w:t>）境内投资者（或境外企业）为实施境外并购项目依照贷款所在国家（地区）相关法律按一定利率从境外银行（包括我国金融机构在境外设立的附属机构等）取得的贷款。（</w:t>
      </w:r>
      <w:r>
        <w:rPr>
          <w:szCs w:val="21"/>
        </w:rPr>
        <w:t>2</w:t>
      </w:r>
      <w:r>
        <w:rPr>
          <w:szCs w:val="21"/>
        </w:rPr>
        <w:t>）境内投资者（或境外企业）依照融资所在国家（地区）法律规定，从境外资本市场和货币市场取得的融资款项。</w:t>
      </w:r>
    </w:p>
    <w:p w:rsidR="00946A4D" w:rsidRPr="002A01EE" w:rsidRDefault="00946A4D"/>
    <w:sectPr w:rsidR="00946A4D" w:rsidRPr="002A01EE">
      <w:footerReference w:type="even" r:id="rId6"/>
      <w:footerReference w:type="default" r:id="rId7"/>
      <w:headerReference w:type="first" r:id="rId8"/>
      <w:footerReference w:type="first" r:id="rId9"/>
      <w:pgSz w:w="16838" w:h="11906" w:orient="landscape"/>
      <w:pgMar w:top="1531" w:right="1701" w:bottom="1531" w:left="1588" w:header="851" w:footer="1417" w:gutter="0"/>
      <w:cols w:space="0"/>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89" w:rsidRDefault="002A01E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B3F89" w:rsidRDefault="002A01E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89" w:rsidRDefault="002A01EE">
    <w:pPr>
      <w:pStyle w:val="a3"/>
      <w:framePr w:wrap="around" w:vAnchor="text" w:hAnchor="margin" w:xAlign="outside" w:y="1"/>
      <w:rPr>
        <w:rStyle w:val="a5"/>
        <w:color w:val="FFFFFF"/>
        <w:sz w:val="28"/>
        <w:szCs w:val="28"/>
      </w:rPr>
    </w:pPr>
    <w:r>
      <w:rPr>
        <w:rStyle w:val="a5"/>
        <w:color w:val="FFFFFF"/>
        <w:sz w:val="28"/>
        <w:szCs w:val="28"/>
      </w:rPr>
      <w:t>–—</w:t>
    </w:r>
    <w:r>
      <w:rPr>
        <w:rStyle w:val="a5"/>
        <w:sz w:val="28"/>
        <w:szCs w:val="28"/>
      </w:rPr>
      <w:t>—</w:t>
    </w:r>
    <w:r>
      <w:rPr>
        <w:rStyle w:val="a5"/>
        <w:color w:val="FFFFFF"/>
        <w:sz w:val="28"/>
        <w:szCs w:val="28"/>
      </w:rPr>
      <w:t>–</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8</w:t>
    </w:r>
    <w:r>
      <w:rPr>
        <w:rStyle w:val="a5"/>
        <w:sz w:val="28"/>
        <w:szCs w:val="28"/>
      </w:rPr>
      <w:fldChar w:fldCharType="end"/>
    </w:r>
    <w:r>
      <w:rPr>
        <w:rStyle w:val="a5"/>
        <w:color w:val="FFFFFF"/>
        <w:sz w:val="28"/>
        <w:szCs w:val="28"/>
      </w:rPr>
      <w:t>–</w:t>
    </w:r>
    <w:r>
      <w:rPr>
        <w:rStyle w:val="a5"/>
        <w:sz w:val="28"/>
        <w:szCs w:val="28"/>
      </w:rPr>
      <w:t>—</w:t>
    </w:r>
    <w:r>
      <w:rPr>
        <w:rStyle w:val="a5"/>
        <w:color w:val="FFFFFF"/>
        <w:sz w:val="28"/>
        <w:szCs w:val="28"/>
      </w:rPr>
      <w:t>——</w:t>
    </w:r>
  </w:p>
  <w:p w:rsidR="004B3F89" w:rsidRDefault="002A01E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89" w:rsidRDefault="002A01EE">
    <w:pPr>
      <w:pStyle w:val="a3"/>
      <w:framePr w:wrap="around" w:vAnchor="text" w:hAnchor="margin" w:xAlign="outside" w:y="1"/>
      <w:rPr>
        <w:rStyle w:val="a5"/>
        <w:color w:val="FFFFFF"/>
        <w:sz w:val="28"/>
        <w:szCs w:val="28"/>
      </w:rPr>
    </w:pPr>
    <w:r>
      <w:rPr>
        <w:rStyle w:val="a5"/>
        <w:color w:val="FFFFFF"/>
        <w:sz w:val="28"/>
        <w:szCs w:val="28"/>
      </w:rPr>
      <w:t>–—</w:t>
    </w:r>
    <w:r>
      <w:rPr>
        <w:rStyle w:val="a5"/>
        <w:sz w:val="28"/>
        <w:szCs w:val="28"/>
      </w:rPr>
      <w:t>—</w:t>
    </w:r>
    <w:r>
      <w:rPr>
        <w:rStyle w:val="a5"/>
        <w:color w:val="FFFFFF"/>
        <w:sz w:val="28"/>
        <w:szCs w:val="28"/>
      </w:rPr>
      <w:t>–</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1</w:t>
    </w:r>
    <w:r>
      <w:rPr>
        <w:rStyle w:val="a5"/>
        <w:sz w:val="28"/>
        <w:szCs w:val="28"/>
      </w:rPr>
      <w:fldChar w:fldCharType="end"/>
    </w:r>
    <w:r>
      <w:rPr>
        <w:rStyle w:val="a5"/>
        <w:color w:val="FFFFFF"/>
        <w:sz w:val="28"/>
        <w:szCs w:val="28"/>
      </w:rPr>
      <w:t>–</w:t>
    </w:r>
    <w:r>
      <w:rPr>
        <w:rStyle w:val="a5"/>
        <w:sz w:val="28"/>
        <w:szCs w:val="28"/>
      </w:rPr>
      <w:t>—</w:t>
    </w:r>
    <w:r>
      <w:rPr>
        <w:rStyle w:val="a5"/>
        <w:color w:val="FFFFFF"/>
        <w:sz w:val="28"/>
        <w:szCs w:val="28"/>
      </w:rPr>
      <w:t>——</w:t>
    </w:r>
  </w:p>
  <w:p w:rsidR="004B3F89" w:rsidRDefault="002A01E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89" w:rsidRDefault="002A01E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50EC"/>
    <w:multiLevelType w:val="singleLevel"/>
    <w:tmpl w:val="0FCE50E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EE"/>
    <w:rsid w:val="002A01EE"/>
    <w:rsid w:val="0094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01EE"/>
    <w:pPr>
      <w:tabs>
        <w:tab w:val="center" w:pos="4153"/>
        <w:tab w:val="right" w:pos="8306"/>
      </w:tabs>
      <w:snapToGrid w:val="0"/>
      <w:jc w:val="left"/>
    </w:pPr>
    <w:rPr>
      <w:sz w:val="18"/>
      <w:szCs w:val="18"/>
    </w:rPr>
  </w:style>
  <w:style w:type="character" w:customStyle="1" w:styleId="Char">
    <w:name w:val="页脚 Char"/>
    <w:basedOn w:val="a0"/>
    <w:link w:val="a3"/>
    <w:rsid w:val="002A01EE"/>
    <w:rPr>
      <w:rFonts w:ascii="Times New Roman" w:eastAsia="宋体" w:hAnsi="Times New Roman" w:cs="Times New Roman"/>
      <w:sz w:val="18"/>
      <w:szCs w:val="18"/>
    </w:rPr>
  </w:style>
  <w:style w:type="paragraph" w:styleId="a4">
    <w:name w:val="header"/>
    <w:basedOn w:val="a"/>
    <w:link w:val="Char0"/>
    <w:qFormat/>
    <w:rsid w:val="002A0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A01EE"/>
    <w:rPr>
      <w:rFonts w:ascii="Times New Roman" w:eastAsia="宋体" w:hAnsi="Times New Roman" w:cs="Times New Roman"/>
      <w:sz w:val="18"/>
      <w:szCs w:val="18"/>
    </w:rPr>
  </w:style>
  <w:style w:type="character" w:styleId="a5">
    <w:name w:val="page number"/>
    <w:basedOn w:val="a0"/>
    <w:qFormat/>
    <w:rsid w:val="002A0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01EE"/>
    <w:pPr>
      <w:tabs>
        <w:tab w:val="center" w:pos="4153"/>
        <w:tab w:val="right" w:pos="8306"/>
      </w:tabs>
      <w:snapToGrid w:val="0"/>
      <w:jc w:val="left"/>
    </w:pPr>
    <w:rPr>
      <w:sz w:val="18"/>
      <w:szCs w:val="18"/>
    </w:rPr>
  </w:style>
  <w:style w:type="character" w:customStyle="1" w:styleId="Char">
    <w:name w:val="页脚 Char"/>
    <w:basedOn w:val="a0"/>
    <w:link w:val="a3"/>
    <w:rsid w:val="002A01EE"/>
    <w:rPr>
      <w:rFonts w:ascii="Times New Roman" w:eastAsia="宋体" w:hAnsi="Times New Roman" w:cs="Times New Roman"/>
      <w:sz w:val="18"/>
      <w:szCs w:val="18"/>
    </w:rPr>
  </w:style>
  <w:style w:type="paragraph" w:styleId="a4">
    <w:name w:val="header"/>
    <w:basedOn w:val="a"/>
    <w:link w:val="Char0"/>
    <w:qFormat/>
    <w:rsid w:val="002A0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A01EE"/>
    <w:rPr>
      <w:rFonts w:ascii="Times New Roman" w:eastAsia="宋体" w:hAnsi="Times New Roman" w:cs="Times New Roman"/>
      <w:sz w:val="18"/>
      <w:szCs w:val="18"/>
    </w:rPr>
  </w:style>
  <w:style w:type="character" w:styleId="a5">
    <w:name w:val="page number"/>
    <w:basedOn w:val="a0"/>
    <w:qFormat/>
    <w:rsid w:val="002A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Microsoft</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2022-05-06T02:23:00Z</dcterms:created>
  <dcterms:modified xsi:type="dcterms:W3CDTF">2022-05-06T02:24:00Z</dcterms:modified>
</cp:coreProperties>
</file>